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header4.xml" ContentType="application/vnd.openxmlformats-officedocument.wordprocessingml.header+xml"/>
  <Override PartName="/word/footer3.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4.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footer5.xml" ContentType="application/vnd.openxmlformats-officedocument.wordprocessingml.foot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header13.xml" ContentType="application/vnd.openxmlformats-officedocument.wordprocessingml.header+xml"/>
  <Override PartName="/word/header14.xml" ContentType="application/vnd.openxmlformats-officedocument.wordprocessingml.header+xml"/>
  <Override PartName="/word/header15.xml" ContentType="application/vnd.openxmlformats-officedocument.wordprocessingml.header+xml"/>
  <Override PartName="/word/header16.xml" ContentType="application/vnd.openxmlformats-officedocument.wordprocessingml.header+xml"/>
  <Override PartName="/word/header17.xml" ContentType="application/vnd.openxmlformats-officedocument.wordprocessingml.header+xml"/>
  <Override PartName="/word/header18.xml" ContentType="application/vnd.openxmlformats-officedocument.wordprocessingml.header+xml"/>
  <Override PartName="/word/header19.xml" ContentType="application/vnd.openxmlformats-officedocument.wordprocessingml.header+xml"/>
  <Override PartName="/word/header20.xml" ContentType="application/vnd.openxmlformats-officedocument.wordprocessingml.header+xml"/>
  <Override PartName="/word/header21.xml" ContentType="application/vnd.openxmlformats-officedocument.wordprocessingml.header+xml"/>
  <Override PartName="/word/header22.xml" ContentType="application/vnd.openxmlformats-officedocument.wordprocessingml.header+xml"/>
  <Override PartName="/word/header23.xml" ContentType="application/vnd.openxmlformats-officedocument.wordprocessingml.header+xml"/>
  <Override PartName="/word/header24.xml" ContentType="application/vnd.openxmlformats-officedocument.wordprocessingml.header+xml"/>
  <Override PartName="/word/header25.xml" ContentType="application/vnd.openxmlformats-officedocument.wordprocessingml.header+xml"/>
  <Override PartName="/word/header26.xml" ContentType="application/vnd.openxmlformats-officedocument.wordprocessingml.header+xml"/>
  <Override PartName="/word/header27.xml" ContentType="application/vnd.openxmlformats-officedocument.wordprocessingml.header+xml"/>
  <Override PartName="/word/header28.xml" ContentType="application/vnd.openxmlformats-officedocument.wordprocessingml.header+xml"/>
  <Override PartName="/word/header29.xml" ContentType="application/vnd.openxmlformats-officedocument.wordprocessingml.header+xml"/>
  <Override PartName="/word/header30.xml" ContentType="application/vnd.openxmlformats-officedocument.wordprocessingml.header+xml"/>
  <Override PartName="/word/header31.xml" ContentType="application/vnd.openxmlformats-officedocument.wordprocessingml.header+xml"/>
  <Override PartName="/word/header32.xml" ContentType="application/vnd.openxmlformats-officedocument.wordprocessingml.header+xml"/>
  <Override PartName="/word/header33.xml" ContentType="application/vnd.openxmlformats-officedocument.wordprocessingml.header+xml"/>
  <Override PartName="/word/header34.xml" ContentType="application/vnd.openxmlformats-officedocument.wordprocessingml.header+xml"/>
  <Override PartName="/word/header35.xml" ContentType="application/vnd.openxmlformats-officedocument.wordprocessingml.header+xml"/>
  <Override PartName="/word/header36.xml" ContentType="application/vnd.openxmlformats-officedocument.wordprocessingml.header+xml"/>
  <Override PartName="/word/header37.xml" ContentType="application/vnd.openxmlformats-officedocument.wordprocessingml.header+xml"/>
  <Override PartName="/word/header38.xml" ContentType="application/vnd.openxmlformats-officedocument.wordprocessingml.header+xml"/>
  <Override PartName="/word/header39.xml" ContentType="application/vnd.openxmlformats-officedocument.wordprocessingml.header+xml"/>
  <Override PartName="/word/header40.xml" ContentType="application/vnd.openxmlformats-officedocument.wordprocessingml.header+xml"/>
  <Override PartName="/word/header41.xml" ContentType="application/vnd.openxmlformats-officedocument.wordprocessingml.header+xml"/>
  <Override PartName="/word/header42.xml" ContentType="application/vnd.openxmlformats-officedocument.wordprocessingml.header+xml"/>
  <Override PartName="/word/header4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32B798E" w14:textId="3D8A00F1" w:rsidR="00D2710D" w:rsidRPr="00707D4E" w:rsidRDefault="003318AA" w:rsidP="00D2710D">
      <w:pPr>
        <w:suppressAutoHyphens/>
        <w:jc w:val="center"/>
        <w:outlineLvl w:val="0"/>
        <w:rPr>
          <w:szCs w:val="22"/>
        </w:rPr>
      </w:pPr>
      <w:bookmarkStart w:id="0" w:name="Placard"/>
      <w:bookmarkEnd w:id="0"/>
      <w:r>
        <w:rPr>
          <w:sz w:val="52"/>
          <w:szCs w:val="52"/>
        </w:rPr>
        <w:t>Florida Power and Light Company</w:t>
      </w:r>
    </w:p>
    <w:p w14:paraId="55E31141" w14:textId="19D7B20D" w:rsidR="00D2710D" w:rsidRPr="002E5AA6" w:rsidRDefault="003318AA" w:rsidP="00D2710D">
      <w:pPr>
        <w:spacing w:after="120"/>
        <w:jc w:val="center"/>
        <w:outlineLvl w:val="0"/>
        <w:rPr>
          <w:sz w:val="48"/>
          <w:szCs w:val="48"/>
        </w:rPr>
      </w:pPr>
      <w:r>
        <w:rPr>
          <w:sz w:val="48"/>
          <w:szCs w:val="48"/>
        </w:rPr>
        <w:t>Martin Power Plant</w:t>
      </w:r>
    </w:p>
    <w:p w14:paraId="0319CE32" w14:textId="3CE11131" w:rsidR="00D2710D" w:rsidRPr="002E5AA6" w:rsidRDefault="00D2710D" w:rsidP="00D2710D">
      <w:pPr>
        <w:jc w:val="center"/>
        <w:outlineLvl w:val="0"/>
        <w:rPr>
          <w:sz w:val="36"/>
          <w:szCs w:val="36"/>
        </w:rPr>
      </w:pPr>
      <w:r w:rsidRPr="00250106">
        <w:rPr>
          <w:sz w:val="36"/>
          <w:szCs w:val="36"/>
        </w:rPr>
        <w:t>Facility ID No.</w:t>
      </w:r>
      <w:r w:rsidRPr="002E5AA6">
        <w:rPr>
          <w:sz w:val="36"/>
          <w:szCs w:val="36"/>
        </w:rPr>
        <w:t xml:space="preserve"> </w:t>
      </w:r>
      <w:r w:rsidR="003318AA">
        <w:rPr>
          <w:sz w:val="36"/>
          <w:szCs w:val="36"/>
        </w:rPr>
        <w:t>0850001</w:t>
      </w:r>
    </w:p>
    <w:p w14:paraId="10081701" w14:textId="078F630C" w:rsidR="00D2710D" w:rsidRPr="002E5AA6" w:rsidRDefault="003318AA" w:rsidP="00D2710D">
      <w:pPr>
        <w:spacing w:line="240" w:lineRule="atLeast"/>
        <w:jc w:val="center"/>
        <w:outlineLvl w:val="0"/>
        <w:rPr>
          <w:sz w:val="36"/>
          <w:szCs w:val="36"/>
        </w:rPr>
      </w:pPr>
      <w:r>
        <w:rPr>
          <w:sz w:val="36"/>
          <w:szCs w:val="36"/>
        </w:rPr>
        <w:t>Martin</w:t>
      </w:r>
      <w:r w:rsidR="00D2710D" w:rsidRPr="002E5AA6">
        <w:rPr>
          <w:sz w:val="36"/>
          <w:szCs w:val="36"/>
        </w:rPr>
        <w:t xml:space="preserve"> County</w:t>
      </w:r>
    </w:p>
    <w:p w14:paraId="216735BE" w14:textId="41E4FFA9" w:rsidR="00D2710D" w:rsidRPr="00E210D2" w:rsidRDefault="00D2710D" w:rsidP="00D2710D">
      <w:pPr>
        <w:pStyle w:val="Heading4"/>
        <w:spacing w:after="120"/>
        <w:jc w:val="center"/>
        <w:rPr>
          <w:b w:val="0"/>
          <w:sz w:val="36"/>
          <w:szCs w:val="36"/>
        </w:rPr>
      </w:pPr>
      <w:r w:rsidRPr="003318AA">
        <w:rPr>
          <w:b w:val="0"/>
          <w:sz w:val="36"/>
          <w:szCs w:val="36"/>
        </w:rPr>
        <w:t>Title V Air Operation Permit Renewal</w:t>
      </w:r>
    </w:p>
    <w:p w14:paraId="0F85833B" w14:textId="72C42037" w:rsidR="00D2710D" w:rsidRDefault="00D2710D" w:rsidP="00D2710D">
      <w:pPr>
        <w:pStyle w:val="Heading4"/>
        <w:jc w:val="center"/>
        <w:rPr>
          <w:bCs w:val="0"/>
        </w:rPr>
      </w:pPr>
      <w:r w:rsidRPr="009E4CC3">
        <w:t xml:space="preserve">Permit No. </w:t>
      </w:r>
      <w:r w:rsidR="003318AA" w:rsidRPr="009E4CC3">
        <w:rPr>
          <w:bCs w:val="0"/>
        </w:rPr>
        <w:t>0850001</w:t>
      </w:r>
      <w:r w:rsidRPr="009E4CC3">
        <w:rPr>
          <w:bCs w:val="0"/>
        </w:rPr>
        <w:t>-</w:t>
      </w:r>
      <w:r w:rsidR="009E4CC3" w:rsidRPr="009E4CC3">
        <w:rPr>
          <w:bCs w:val="0"/>
        </w:rPr>
        <w:t>042</w:t>
      </w:r>
      <w:r w:rsidRPr="009E4CC3">
        <w:rPr>
          <w:bCs w:val="0"/>
        </w:rPr>
        <w:t>-AV</w:t>
      </w:r>
    </w:p>
    <w:p w14:paraId="100833AC" w14:textId="03E78D60" w:rsidR="00D2710D" w:rsidRDefault="00D2710D" w:rsidP="006B47E9">
      <w:pPr>
        <w:spacing w:after="120"/>
        <w:jc w:val="center"/>
        <w:rPr>
          <w:sz w:val="24"/>
        </w:rPr>
      </w:pPr>
      <w:r>
        <w:rPr>
          <w:sz w:val="24"/>
        </w:rPr>
        <w:t>(</w:t>
      </w:r>
      <w:r w:rsidRPr="00CB0DAA">
        <w:rPr>
          <w:sz w:val="24"/>
        </w:rPr>
        <w:t>Renewal</w:t>
      </w:r>
      <w:r>
        <w:rPr>
          <w:sz w:val="24"/>
        </w:rPr>
        <w:t xml:space="preserve"> of Title V Air Operation Permit No</w:t>
      </w:r>
      <w:r w:rsidRPr="003318AA">
        <w:rPr>
          <w:sz w:val="24"/>
        </w:rPr>
        <w:t xml:space="preserve">. </w:t>
      </w:r>
      <w:r w:rsidR="003318AA" w:rsidRPr="003318AA">
        <w:rPr>
          <w:sz w:val="24"/>
        </w:rPr>
        <w:t>0850001</w:t>
      </w:r>
      <w:r w:rsidRPr="003318AA">
        <w:rPr>
          <w:sz w:val="24"/>
        </w:rPr>
        <w:t>-</w:t>
      </w:r>
      <w:r w:rsidR="003318AA">
        <w:rPr>
          <w:sz w:val="24"/>
        </w:rPr>
        <w:t>033</w:t>
      </w:r>
      <w:r>
        <w:rPr>
          <w:sz w:val="24"/>
        </w:rPr>
        <w:t>-AV)</w:t>
      </w:r>
    </w:p>
    <w:p w14:paraId="25B2FAAB" w14:textId="743D5092" w:rsidR="00D2710D" w:rsidRDefault="009E4CC3" w:rsidP="00D2710D">
      <w:pPr>
        <w:jc w:val="center"/>
      </w:pPr>
      <w:r>
        <w:rPr>
          <w:noProof/>
        </w:rPr>
        <w:drawing>
          <wp:inline distT="0" distB="0" distL="0" distR="0" wp14:anchorId="679B3854" wp14:editId="48CCCF66">
            <wp:extent cx="2694301" cy="2784604"/>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737320" cy="2829065"/>
                    </a:xfrm>
                    <a:prstGeom prst="rect">
                      <a:avLst/>
                    </a:prstGeom>
                    <a:noFill/>
                    <a:ln>
                      <a:noFill/>
                    </a:ln>
                  </pic:spPr>
                </pic:pic>
              </a:graphicData>
            </a:graphic>
          </wp:inline>
        </w:drawing>
      </w:r>
    </w:p>
    <w:p w14:paraId="5E4739E7" w14:textId="77777777" w:rsidR="00D2710D" w:rsidRPr="00E210D2" w:rsidRDefault="00D2710D" w:rsidP="006B47E9">
      <w:pPr>
        <w:spacing w:before="120" w:after="60"/>
        <w:jc w:val="center"/>
        <w:outlineLvl w:val="0"/>
        <w:rPr>
          <w:b/>
          <w:sz w:val="28"/>
        </w:rPr>
      </w:pPr>
      <w:r w:rsidRPr="00E210D2">
        <w:rPr>
          <w:b/>
          <w:sz w:val="28"/>
          <w:u w:val="single"/>
        </w:rPr>
        <w:t>Permitting Authority:</w:t>
      </w:r>
    </w:p>
    <w:p w14:paraId="6D852D34" w14:textId="77777777" w:rsidR="00D2710D" w:rsidRDefault="00D2710D" w:rsidP="00D2710D">
      <w:pPr>
        <w:spacing w:before="60"/>
        <w:jc w:val="center"/>
        <w:rPr>
          <w:sz w:val="28"/>
        </w:rPr>
      </w:pPr>
      <w:r>
        <w:rPr>
          <w:sz w:val="28"/>
        </w:rPr>
        <w:t xml:space="preserve">State of </w:t>
      </w:r>
      <w:smartTag w:uri="urn:schemas-microsoft-com:office:smarttags" w:element="place">
        <w:smartTag w:uri="urn:schemas-microsoft-com:office:smarttags" w:element="State">
          <w:r>
            <w:rPr>
              <w:sz w:val="28"/>
            </w:rPr>
            <w:t>Florida</w:t>
          </w:r>
        </w:smartTag>
      </w:smartTag>
    </w:p>
    <w:p w14:paraId="29241F60" w14:textId="77777777" w:rsidR="00D2710D" w:rsidRDefault="00D2710D" w:rsidP="00D2710D">
      <w:pPr>
        <w:jc w:val="center"/>
        <w:rPr>
          <w:sz w:val="28"/>
        </w:rPr>
      </w:pPr>
      <w:r>
        <w:rPr>
          <w:sz w:val="28"/>
        </w:rPr>
        <w:t>Department of Environmental Protection</w:t>
      </w:r>
    </w:p>
    <w:p w14:paraId="69D46689" w14:textId="77777777" w:rsidR="00D2710D" w:rsidRDefault="00D2710D" w:rsidP="00D2710D">
      <w:pPr>
        <w:jc w:val="center"/>
        <w:rPr>
          <w:sz w:val="28"/>
        </w:rPr>
      </w:pPr>
      <w:r>
        <w:rPr>
          <w:sz w:val="28"/>
        </w:rPr>
        <w:t>Division of Air Resource Management</w:t>
      </w:r>
    </w:p>
    <w:p w14:paraId="146E8C9C" w14:textId="77777777" w:rsidR="00D2710D" w:rsidRDefault="003B6DC5" w:rsidP="00D2710D">
      <w:pPr>
        <w:jc w:val="center"/>
        <w:rPr>
          <w:sz w:val="28"/>
        </w:rPr>
      </w:pPr>
      <w:r>
        <w:rPr>
          <w:sz w:val="28"/>
        </w:rPr>
        <w:t>Office of Permitting and Compliance</w:t>
      </w:r>
    </w:p>
    <w:p w14:paraId="7014F34B" w14:textId="77777777" w:rsidR="00D2710D" w:rsidRDefault="00D2710D" w:rsidP="00D2710D">
      <w:pPr>
        <w:jc w:val="center"/>
        <w:rPr>
          <w:sz w:val="28"/>
        </w:rPr>
      </w:pPr>
      <w:r>
        <w:rPr>
          <w:sz w:val="28"/>
        </w:rPr>
        <w:t>2600 Blair Stone Road</w:t>
      </w:r>
    </w:p>
    <w:p w14:paraId="6EC66E0B" w14:textId="77777777" w:rsidR="00D2710D" w:rsidRDefault="00D2710D" w:rsidP="00D2710D">
      <w:pPr>
        <w:jc w:val="center"/>
        <w:rPr>
          <w:sz w:val="28"/>
        </w:rPr>
      </w:pPr>
      <w:r>
        <w:rPr>
          <w:sz w:val="28"/>
        </w:rPr>
        <w:t>Mail Station #5505</w:t>
      </w:r>
    </w:p>
    <w:p w14:paraId="4D78881E" w14:textId="77777777" w:rsidR="00D2710D" w:rsidRDefault="00D2710D" w:rsidP="00D2710D">
      <w:pPr>
        <w:spacing w:after="120"/>
        <w:jc w:val="center"/>
        <w:rPr>
          <w:sz w:val="28"/>
        </w:rPr>
      </w:pPr>
      <w:smartTag w:uri="urn:schemas-microsoft-com:office:smarttags" w:element="place">
        <w:smartTag w:uri="urn:schemas-microsoft-com:office:smarttags" w:element="City">
          <w:r>
            <w:rPr>
              <w:sz w:val="28"/>
            </w:rPr>
            <w:t>Tallahassee</w:t>
          </w:r>
        </w:smartTag>
        <w:r>
          <w:rPr>
            <w:sz w:val="28"/>
          </w:rPr>
          <w:t xml:space="preserve">, </w:t>
        </w:r>
        <w:smartTag w:uri="urn:schemas-microsoft-com:office:smarttags" w:element="State">
          <w:r>
            <w:rPr>
              <w:sz w:val="28"/>
            </w:rPr>
            <w:t>Florida</w:t>
          </w:r>
        </w:smartTag>
        <w:r>
          <w:rPr>
            <w:sz w:val="28"/>
          </w:rPr>
          <w:t xml:space="preserve">  </w:t>
        </w:r>
        <w:smartTag w:uri="urn:schemas-microsoft-com:office:smarttags" w:element="PostalCode">
          <w:r>
            <w:rPr>
              <w:sz w:val="28"/>
            </w:rPr>
            <w:t>32399-2400</w:t>
          </w:r>
        </w:smartTag>
      </w:smartTag>
    </w:p>
    <w:p w14:paraId="240AC4EF" w14:textId="77777777" w:rsidR="00D2710D" w:rsidRPr="00CB4A91" w:rsidRDefault="00D2710D" w:rsidP="00D2710D">
      <w:pPr>
        <w:jc w:val="center"/>
        <w:outlineLvl w:val="0"/>
        <w:rPr>
          <w:sz w:val="28"/>
        </w:rPr>
      </w:pPr>
      <w:r w:rsidRPr="00CB4A91">
        <w:rPr>
          <w:sz w:val="28"/>
        </w:rPr>
        <w:t xml:space="preserve">Telephone:  (850) </w:t>
      </w:r>
      <w:r w:rsidR="00E570B4">
        <w:rPr>
          <w:sz w:val="28"/>
        </w:rPr>
        <w:t>717-9000</w:t>
      </w:r>
    </w:p>
    <w:p w14:paraId="4C31DD17" w14:textId="2C48170D" w:rsidR="00054BE0" w:rsidRDefault="00C973C6" w:rsidP="00D2710D">
      <w:pPr>
        <w:jc w:val="center"/>
        <w:rPr>
          <w:sz w:val="28"/>
        </w:rPr>
      </w:pPr>
      <w:r>
        <w:rPr>
          <w:sz w:val="28"/>
        </w:rPr>
        <w:t xml:space="preserve">Email:  </w:t>
      </w:r>
      <w:hyperlink r:id="rId9" w:history="1">
        <w:r w:rsidRPr="00E14370">
          <w:rPr>
            <w:rStyle w:val="Hyperlink"/>
            <w:sz w:val="28"/>
          </w:rPr>
          <w:t>DARM_Permitting@dep.state.fl.us</w:t>
        </w:r>
      </w:hyperlink>
    </w:p>
    <w:p w14:paraId="2FFB9426" w14:textId="77777777" w:rsidR="00D2710D" w:rsidRDefault="00D2710D" w:rsidP="00183E1B">
      <w:pPr>
        <w:jc w:val="center"/>
      </w:pPr>
    </w:p>
    <w:p w14:paraId="616F32A5" w14:textId="77777777" w:rsidR="00D2710D" w:rsidRPr="003318AA" w:rsidRDefault="00D2710D" w:rsidP="00D2710D">
      <w:pPr>
        <w:spacing w:after="60"/>
        <w:jc w:val="center"/>
        <w:outlineLvl w:val="0"/>
        <w:rPr>
          <w:b/>
          <w:sz w:val="28"/>
          <w:szCs w:val="28"/>
        </w:rPr>
      </w:pPr>
      <w:r w:rsidRPr="003318AA">
        <w:rPr>
          <w:b/>
          <w:sz w:val="28"/>
          <w:szCs w:val="28"/>
          <w:u w:val="single"/>
        </w:rPr>
        <w:t>Compliance Authority</w:t>
      </w:r>
      <w:r w:rsidRPr="003318AA">
        <w:rPr>
          <w:b/>
          <w:sz w:val="28"/>
          <w:szCs w:val="28"/>
        </w:rPr>
        <w:t>:</w:t>
      </w:r>
    </w:p>
    <w:p w14:paraId="01F6D0AB" w14:textId="279E1478" w:rsidR="00D2710D" w:rsidRPr="003318AA" w:rsidRDefault="003318AA" w:rsidP="00D2710D">
      <w:pPr>
        <w:spacing w:before="60" w:after="60"/>
        <w:jc w:val="center"/>
        <w:rPr>
          <w:sz w:val="28"/>
          <w:szCs w:val="28"/>
        </w:rPr>
      </w:pPr>
      <w:r w:rsidRPr="003318AA">
        <w:rPr>
          <w:sz w:val="28"/>
          <w:szCs w:val="28"/>
        </w:rPr>
        <w:t>DEP Southeast District</w:t>
      </w:r>
    </w:p>
    <w:p w14:paraId="1834735B" w14:textId="6DAAE8CB" w:rsidR="00D2710D" w:rsidRPr="003318AA" w:rsidRDefault="003318AA" w:rsidP="00D2710D">
      <w:pPr>
        <w:jc w:val="center"/>
        <w:rPr>
          <w:sz w:val="28"/>
          <w:szCs w:val="28"/>
        </w:rPr>
      </w:pPr>
      <w:r w:rsidRPr="003318AA">
        <w:rPr>
          <w:sz w:val="28"/>
          <w:szCs w:val="28"/>
        </w:rPr>
        <w:t>3301 Gun Club Road</w:t>
      </w:r>
      <w:r w:rsidR="009E4CC3">
        <w:rPr>
          <w:sz w:val="28"/>
          <w:szCs w:val="28"/>
        </w:rPr>
        <w:t xml:space="preserve">, </w:t>
      </w:r>
      <w:r w:rsidRPr="003318AA">
        <w:rPr>
          <w:sz w:val="28"/>
          <w:szCs w:val="28"/>
        </w:rPr>
        <w:t>MSC 7210-1</w:t>
      </w:r>
    </w:p>
    <w:p w14:paraId="66D80535" w14:textId="3E329C76" w:rsidR="003318AA" w:rsidRPr="003318AA" w:rsidRDefault="003318AA" w:rsidP="00D2710D">
      <w:pPr>
        <w:jc w:val="center"/>
        <w:rPr>
          <w:sz w:val="28"/>
          <w:szCs w:val="28"/>
        </w:rPr>
      </w:pPr>
      <w:r w:rsidRPr="003318AA">
        <w:rPr>
          <w:sz w:val="28"/>
          <w:szCs w:val="28"/>
        </w:rPr>
        <w:t>West Palm Beach, Florida  33401</w:t>
      </w:r>
    </w:p>
    <w:p w14:paraId="2F3A3A9C" w14:textId="7CAE27A2" w:rsidR="00D2710D" w:rsidRPr="003318AA" w:rsidRDefault="00D2710D" w:rsidP="00D2710D">
      <w:pPr>
        <w:spacing w:before="120"/>
        <w:jc w:val="center"/>
        <w:rPr>
          <w:sz w:val="28"/>
          <w:szCs w:val="28"/>
        </w:rPr>
      </w:pPr>
      <w:r w:rsidRPr="003318AA">
        <w:rPr>
          <w:sz w:val="28"/>
          <w:szCs w:val="28"/>
        </w:rPr>
        <w:t>Telephone:  (</w:t>
      </w:r>
      <w:r w:rsidR="003318AA" w:rsidRPr="003318AA">
        <w:rPr>
          <w:sz w:val="28"/>
          <w:szCs w:val="28"/>
        </w:rPr>
        <w:t>561</w:t>
      </w:r>
      <w:r w:rsidRPr="003318AA">
        <w:rPr>
          <w:sz w:val="28"/>
          <w:szCs w:val="28"/>
        </w:rPr>
        <w:t xml:space="preserve">) </w:t>
      </w:r>
      <w:r w:rsidR="003318AA" w:rsidRPr="003318AA">
        <w:rPr>
          <w:sz w:val="28"/>
          <w:szCs w:val="28"/>
        </w:rPr>
        <w:t>681</w:t>
      </w:r>
      <w:r w:rsidRPr="003318AA">
        <w:rPr>
          <w:sz w:val="28"/>
          <w:szCs w:val="28"/>
        </w:rPr>
        <w:t>-</w:t>
      </w:r>
      <w:r w:rsidR="003318AA" w:rsidRPr="003318AA">
        <w:rPr>
          <w:sz w:val="28"/>
          <w:szCs w:val="28"/>
        </w:rPr>
        <w:t>6600</w:t>
      </w:r>
    </w:p>
    <w:p w14:paraId="67E73043" w14:textId="64A9271C" w:rsidR="00183E1B" w:rsidRDefault="00183E1B" w:rsidP="005A3325">
      <w:pPr>
        <w:jc w:val="center"/>
        <w:rPr>
          <w:sz w:val="24"/>
        </w:rPr>
      </w:pPr>
      <w:r w:rsidRPr="003318AA">
        <w:rPr>
          <w:sz w:val="28"/>
          <w:szCs w:val="28"/>
        </w:rPr>
        <w:t xml:space="preserve">Email:  </w:t>
      </w:r>
      <w:hyperlink r:id="rId10" w:history="1">
        <w:r w:rsidR="003318AA" w:rsidRPr="003318AA">
          <w:rPr>
            <w:rStyle w:val="Hyperlink"/>
            <w:sz w:val="28"/>
            <w:szCs w:val="28"/>
          </w:rPr>
          <w:t>SED.AIR@dep.state.fl.us</w:t>
        </w:r>
      </w:hyperlink>
      <w:r w:rsidR="003318AA">
        <w:rPr>
          <w:sz w:val="28"/>
          <w:szCs w:val="28"/>
        </w:rPr>
        <w:t xml:space="preserve"> </w:t>
      </w:r>
    </w:p>
    <w:p w14:paraId="2B336005" w14:textId="77777777" w:rsidR="006910A9" w:rsidRDefault="006910A9" w:rsidP="006910A9">
      <w:pPr>
        <w:pStyle w:val="TOC1"/>
        <w:jc w:val="center"/>
        <w:rPr>
          <w:sz w:val="32"/>
          <w:u w:val="single"/>
        </w:rPr>
        <w:sectPr w:rsidR="006910A9" w:rsidSect="00183E1B">
          <w:headerReference w:type="default" r:id="rId11"/>
          <w:footerReference w:type="even" r:id="rId12"/>
          <w:pgSz w:w="12240" w:h="15840" w:code="1"/>
          <w:pgMar w:top="900" w:right="1152" w:bottom="720" w:left="1152" w:header="630" w:footer="720" w:gutter="0"/>
          <w:paperSrc w:first="15" w:other="15"/>
          <w:pgNumType w:start="1"/>
          <w:cols w:space="720"/>
          <w:titlePg/>
        </w:sectPr>
      </w:pPr>
    </w:p>
    <w:p w14:paraId="6CF765F2" w14:textId="1DB094E3" w:rsidR="006910A9" w:rsidRPr="001E2D05" w:rsidRDefault="006910A9" w:rsidP="006910A9">
      <w:pPr>
        <w:pStyle w:val="TOC1"/>
        <w:jc w:val="center"/>
        <w:rPr>
          <w:sz w:val="32"/>
          <w:u w:val="single"/>
        </w:rPr>
      </w:pPr>
      <w:bookmarkStart w:id="1" w:name="TableofContents"/>
      <w:bookmarkEnd w:id="1"/>
      <w:r>
        <w:rPr>
          <w:sz w:val="32"/>
          <w:u w:val="single"/>
        </w:rPr>
        <w:lastRenderedPageBreak/>
        <w:t xml:space="preserve">Title V Air </w:t>
      </w:r>
      <w:r w:rsidRPr="001E2D05">
        <w:rPr>
          <w:sz w:val="32"/>
          <w:u w:val="single"/>
        </w:rPr>
        <w:t xml:space="preserve">Operation Permit </w:t>
      </w:r>
      <w:r w:rsidR="00CB0DAA" w:rsidRPr="001E2D05">
        <w:rPr>
          <w:sz w:val="32"/>
          <w:u w:val="single"/>
        </w:rPr>
        <w:t>Renewal</w:t>
      </w:r>
    </w:p>
    <w:p w14:paraId="6A0EF5B7" w14:textId="3455C9F5" w:rsidR="006910A9" w:rsidRDefault="006910A9" w:rsidP="006910A9">
      <w:pPr>
        <w:jc w:val="center"/>
      </w:pPr>
      <w:r w:rsidRPr="001E2D05">
        <w:t xml:space="preserve">Permit No. </w:t>
      </w:r>
      <w:r w:rsidR="001E2D05" w:rsidRPr="001E2D05">
        <w:t>0850001</w:t>
      </w:r>
      <w:r w:rsidRPr="001E2D05">
        <w:t>-</w:t>
      </w:r>
      <w:r w:rsidR="001E2D05" w:rsidRPr="001E2D05">
        <w:t>042</w:t>
      </w:r>
      <w:r w:rsidR="00D2710D" w:rsidRPr="001E2D05">
        <w:t>-</w:t>
      </w:r>
      <w:r w:rsidRPr="001E2D05">
        <w:t>AV</w:t>
      </w:r>
    </w:p>
    <w:p w14:paraId="5AF5509C" w14:textId="77777777" w:rsidR="00307226" w:rsidRDefault="00307226" w:rsidP="006910A9">
      <w:pPr>
        <w:jc w:val="center"/>
      </w:pPr>
    </w:p>
    <w:p w14:paraId="1022566E" w14:textId="77777777" w:rsidR="006910A9" w:rsidRDefault="006910A9" w:rsidP="006910A9">
      <w:pPr>
        <w:jc w:val="center"/>
      </w:pPr>
      <w:r>
        <w:rPr>
          <w:b/>
          <w:u w:val="single"/>
        </w:rPr>
        <w:t>Table of Contents</w:t>
      </w:r>
    </w:p>
    <w:p w14:paraId="105A60B4" w14:textId="77777777" w:rsidR="006910A9" w:rsidRDefault="006910A9" w:rsidP="000C1108">
      <w:pPr>
        <w:tabs>
          <w:tab w:val="left" w:pos="-1440"/>
          <w:tab w:val="left" w:pos="-720"/>
          <w:tab w:val="right" w:pos="10080"/>
        </w:tabs>
        <w:suppressAutoHyphens/>
        <w:rPr>
          <w:b/>
          <w:u w:val="single"/>
        </w:rPr>
      </w:pPr>
      <w:r>
        <w:rPr>
          <w:b/>
          <w:u w:val="single"/>
        </w:rPr>
        <w:t>Section</w:t>
      </w:r>
      <w:r w:rsidRPr="00E964E6">
        <w:rPr>
          <w:b/>
        </w:rPr>
        <w:tab/>
      </w:r>
      <w:r>
        <w:rPr>
          <w:b/>
          <w:u w:val="single"/>
        </w:rPr>
        <w:t>Page Number</w:t>
      </w:r>
    </w:p>
    <w:p w14:paraId="763C8957" w14:textId="77777777" w:rsidR="00AD07D0" w:rsidRDefault="00AD07D0" w:rsidP="00AD07D0">
      <w:pPr>
        <w:tabs>
          <w:tab w:val="left" w:pos="360"/>
          <w:tab w:val="left" w:pos="720"/>
          <w:tab w:val="left" w:pos="1080"/>
          <w:tab w:val="left" w:pos="1440"/>
          <w:tab w:val="right" w:leader="dot" w:pos="10080"/>
        </w:tabs>
      </w:pPr>
    </w:p>
    <w:p w14:paraId="0B6DD867" w14:textId="3B6BFBD9" w:rsidR="004A6812" w:rsidRDefault="004A6812" w:rsidP="004A6812">
      <w:pPr>
        <w:tabs>
          <w:tab w:val="left" w:pos="360"/>
          <w:tab w:val="right" w:leader="dot" w:pos="10080"/>
        </w:tabs>
      </w:pPr>
      <w:r>
        <w:t xml:space="preserve">Placard Page </w:t>
      </w:r>
      <w:r>
        <w:tab/>
        <w:t xml:space="preserve"> </w:t>
      </w:r>
      <w:r w:rsidR="00516719" w:rsidRPr="00516719">
        <w:rPr>
          <w:b/>
        </w:rPr>
        <w:fldChar w:fldCharType="begin"/>
      </w:r>
      <w:r w:rsidR="00516719" w:rsidRPr="00516719">
        <w:rPr>
          <w:b/>
        </w:rPr>
        <w:instrText xml:space="preserve"> PAGEREF Placard \h </w:instrText>
      </w:r>
      <w:r w:rsidR="00516719" w:rsidRPr="00516719">
        <w:rPr>
          <w:b/>
        </w:rPr>
      </w:r>
      <w:r w:rsidR="00516719" w:rsidRPr="00516719">
        <w:rPr>
          <w:b/>
        </w:rPr>
        <w:fldChar w:fldCharType="separate"/>
      </w:r>
      <w:r w:rsidR="00D31800">
        <w:rPr>
          <w:b/>
          <w:noProof/>
        </w:rPr>
        <w:t>1</w:t>
      </w:r>
      <w:r w:rsidR="00516719" w:rsidRPr="00516719">
        <w:rPr>
          <w:b/>
        </w:rPr>
        <w:fldChar w:fldCharType="end"/>
      </w:r>
    </w:p>
    <w:p w14:paraId="10139C65" w14:textId="77777777" w:rsidR="004A6812" w:rsidRDefault="004A6812" w:rsidP="004A6812">
      <w:pPr>
        <w:tabs>
          <w:tab w:val="left" w:pos="360"/>
          <w:tab w:val="right" w:leader="dot" w:pos="10080"/>
        </w:tabs>
      </w:pPr>
    </w:p>
    <w:p w14:paraId="5B639246" w14:textId="77777777" w:rsidR="00AD07D0" w:rsidRDefault="00AD07D0" w:rsidP="00AD07D0">
      <w:pPr>
        <w:tabs>
          <w:tab w:val="left" w:pos="360"/>
          <w:tab w:val="left" w:pos="720"/>
          <w:tab w:val="left" w:pos="1080"/>
          <w:tab w:val="left" w:pos="1440"/>
          <w:tab w:val="right" w:leader="dot" w:pos="10080"/>
        </w:tabs>
      </w:pPr>
      <w:r>
        <w:t>I.</w:t>
      </w:r>
      <w:r>
        <w:tab/>
        <w:t>Facility Information.</w:t>
      </w:r>
    </w:p>
    <w:p w14:paraId="15EF817E" w14:textId="5A4E20EF" w:rsidR="00AD07D0" w:rsidRDefault="00AD07D0" w:rsidP="00AD07D0">
      <w:pPr>
        <w:tabs>
          <w:tab w:val="left" w:pos="360"/>
          <w:tab w:val="left" w:pos="720"/>
          <w:tab w:val="left" w:pos="1080"/>
          <w:tab w:val="left" w:pos="1440"/>
          <w:tab w:val="right" w:leader="dot" w:pos="10080"/>
        </w:tabs>
      </w:pPr>
      <w:r>
        <w:tab/>
        <w:t>A.</w:t>
      </w:r>
      <w:r>
        <w:tab/>
        <w:t xml:space="preserve">Facility Description. </w:t>
      </w:r>
      <w:r>
        <w:tab/>
        <w:t xml:space="preserve"> </w:t>
      </w:r>
      <w:r w:rsidR="00516719" w:rsidRPr="00516719">
        <w:rPr>
          <w:b/>
        </w:rPr>
        <w:fldChar w:fldCharType="begin"/>
      </w:r>
      <w:r w:rsidR="00516719" w:rsidRPr="00516719">
        <w:rPr>
          <w:b/>
        </w:rPr>
        <w:instrText xml:space="preserve"> PAGEREF SectionIA \h </w:instrText>
      </w:r>
      <w:r w:rsidR="00516719" w:rsidRPr="00516719">
        <w:rPr>
          <w:b/>
        </w:rPr>
      </w:r>
      <w:r w:rsidR="00516719" w:rsidRPr="00516719">
        <w:rPr>
          <w:b/>
        </w:rPr>
        <w:fldChar w:fldCharType="separate"/>
      </w:r>
      <w:r w:rsidR="00D31800">
        <w:rPr>
          <w:b/>
          <w:noProof/>
        </w:rPr>
        <w:t>2</w:t>
      </w:r>
      <w:r w:rsidR="00516719" w:rsidRPr="00516719">
        <w:rPr>
          <w:b/>
        </w:rPr>
        <w:fldChar w:fldCharType="end"/>
      </w:r>
    </w:p>
    <w:p w14:paraId="20476E21" w14:textId="2A912739" w:rsidR="00AD07D0" w:rsidRDefault="00AD07D0" w:rsidP="00AD07D0">
      <w:pPr>
        <w:tabs>
          <w:tab w:val="left" w:pos="360"/>
          <w:tab w:val="left" w:pos="720"/>
          <w:tab w:val="left" w:pos="1080"/>
          <w:tab w:val="left" w:pos="1440"/>
          <w:tab w:val="right" w:leader="dot" w:pos="10080"/>
        </w:tabs>
      </w:pPr>
      <w:r>
        <w:tab/>
        <w:t>B.</w:t>
      </w:r>
      <w:r>
        <w:tab/>
      </w:r>
      <w:r w:rsidRPr="00A74727">
        <w:t xml:space="preserve">Summary </w:t>
      </w:r>
      <w:r w:rsidR="000A0A5C">
        <w:t>of Emissions Unit</w:t>
      </w:r>
      <w:r w:rsidRPr="00A74727">
        <w:t>s.</w:t>
      </w:r>
      <w:r>
        <w:t xml:space="preserve"> </w:t>
      </w:r>
      <w:r>
        <w:tab/>
        <w:t xml:space="preserve"> </w:t>
      </w:r>
      <w:r w:rsidR="00516719" w:rsidRPr="00516719">
        <w:rPr>
          <w:b/>
        </w:rPr>
        <w:fldChar w:fldCharType="begin"/>
      </w:r>
      <w:r w:rsidR="00516719" w:rsidRPr="00516719">
        <w:rPr>
          <w:b/>
        </w:rPr>
        <w:instrText xml:space="preserve"> PAGEREF Section1B \h </w:instrText>
      </w:r>
      <w:r w:rsidR="00516719" w:rsidRPr="00516719">
        <w:rPr>
          <w:b/>
        </w:rPr>
      </w:r>
      <w:r w:rsidR="00516719" w:rsidRPr="00516719">
        <w:rPr>
          <w:b/>
        </w:rPr>
        <w:fldChar w:fldCharType="separate"/>
      </w:r>
      <w:r w:rsidR="00D31800">
        <w:rPr>
          <w:b/>
          <w:noProof/>
        </w:rPr>
        <w:t>2</w:t>
      </w:r>
      <w:r w:rsidR="00516719" w:rsidRPr="00516719">
        <w:rPr>
          <w:b/>
        </w:rPr>
        <w:fldChar w:fldCharType="end"/>
      </w:r>
    </w:p>
    <w:p w14:paraId="6F58BA08" w14:textId="4C8AA1A8" w:rsidR="00AD07D0" w:rsidRDefault="00AD07D0" w:rsidP="00AD07D0">
      <w:pPr>
        <w:tabs>
          <w:tab w:val="left" w:pos="360"/>
          <w:tab w:val="left" w:pos="720"/>
          <w:tab w:val="left" w:pos="1080"/>
          <w:tab w:val="left" w:pos="1440"/>
          <w:tab w:val="right" w:leader="dot" w:pos="10080"/>
        </w:tabs>
      </w:pPr>
      <w:r>
        <w:tab/>
        <w:t>C.</w:t>
      </w:r>
      <w:r>
        <w:tab/>
        <w:t>Applicable Regulations.</w:t>
      </w:r>
      <w:r w:rsidR="00D91394">
        <w:t xml:space="preserve"> </w:t>
      </w:r>
      <w:r>
        <w:tab/>
        <w:t xml:space="preserve"> </w:t>
      </w:r>
      <w:r w:rsidR="00516719" w:rsidRPr="00516719">
        <w:rPr>
          <w:b/>
        </w:rPr>
        <w:fldChar w:fldCharType="begin"/>
      </w:r>
      <w:r w:rsidR="00516719" w:rsidRPr="00516719">
        <w:rPr>
          <w:b/>
        </w:rPr>
        <w:instrText xml:space="preserve"> PAGEREF Section1C \h </w:instrText>
      </w:r>
      <w:r w:rsidR="00516719" w:rsidRPr="00516719">
        <w:rPr>
          <w:b/>
        </w:rPr>
      </w:r>
      <w:r w:rsidR="00516719" w:rsidRPr="00516719">
        <w:rPr>
          <w:b/>
        </w:rPr>
        <w:fldChar w:fldCharType="separate"/>
      </w:r>
      <w:r w:rsidR="00D31800">
        <w:rPr>
          <w:b/>
          <w:noProof/>
        </w:rPr>
        <w:t>3</w:t>
      </w:r>
      <w:r w:rsidR="00516719" w:rsidRPr="00516719">
        <w:rPr>
          <w:b/>
        </w:rPr>
        <w:fldChar w:fldCharType="end"/>
      </w:r>
    </w:p>
    <w:p w14:paraId="39E5C123" w14:textId="77777777" w:rsidR="000A0A5C" w:rsidRDefault="000A0A5C" w:rsidP="00AD07D0">
      <w:pPr>
        <w:tabs>
          <w:tab w:val="left" w:pos="360"/>
          <w:tab w:val="left" w:pos="720"/>
          <w:tab w:val="left" w:pos="1080"/>
          <w:tab w:val="left" w:pos="1440"/>
          <w:tab w:val="right" w:leader="dot" w:pos="10080"/>
        </w:tabs>
      </w:pPr>
    </w:p>
    <w:p w14:paraId="3E2F3BD9" w14:textId="2D897455" w:rsidR="00AD07D0" w:rsidRDefault="00AD07D0" w:rsidP="00AD07D0">
      <w:pPr>
        <w:tabs>
          <w:tab w:val="left" w:pos="360"/>
          <w:tab w:val="left" w:pos="720"/>
          <w:tab w:val="left" w:pos="1080"/>
          <w:tab w:val="left" w:pos="1440"/>
          <w:tab w:val="right" w:leader="dot" w:pos="10080"/>
        </w:tabs>
      </w:pPr>
      <w:r>
        <w:t>II.</w:t>
      </w:r>
      <w:r>
        <w:tab/>
        <w:t xml:space="preserve">Facility-wide Conditions. </w:t>
      </w:r>
      <w:r>
        <w:tab/>
        <w:t xml:space="preserve"> </w:t>
      </w:r>
      <w:r w:rsidR="00516719" w:rsidRPr="00516719">
        <w:rPr>
          <w:b/>
        </w:rPr>
        <w:fldChar w:fldCharType="begin"/>
      </w:r>
      <w:r w:rsidR="00516719" w:rsidRPr="00516719">
        <w:rPr>
          <w:b/>
        </w:rPr>
        <w:instrText xml:space="preserve"> PAGEREF SectionII \h </w:instrText>
      </w:r>
      <w:r w:rsidR="00516719" w:rsidRPr="00516719">
        <w:rPr>
          <w:b/>
        </w:rPr>
      </w:r>
      <w:r w:rsidR="00516719" w:rsidRPr="00516719">
        <w:rPr>
          <w:b/>
        </w:rPr>
        <w:fldChar w:fldCharType="separate"/>
      </w:r>
      <w:r w:rsidR="00D31800">
        <w:rPr>
          <w:b/>
          <w:noProof/>
        </w:rPr>
        <w:t>5</w:t>
      </w:r>
      <w:r w:rsidR="00516719" w:rsidRPr="00516719">
        <w:rPr>
          <w:b/>
        </w:rPr>
        <w:fldChar w:fldCharType="end"/>
      </w:r>
    </w:p>
    <w:p w14:paraId="3517CF65" w14:textId="77777777" w:rsidR="005F79CF" w:rsidRDefault="005F79CF" w:rsidP="00AD07D0">
      <w:pPr>
        <w:tabs>
          <w:tab w:val="left" w:pos="360"/>
          <w:tab w:val="left" w:pos="720"/>
          <w:tab w:val="left" w:pos="1080"/>
          <w:tab w:val="left" w:pos="1440"/>
          <w:tab w:val="right" w:leader="dot" w:pos="10080"/>
        </w:tabs>
      </w:pPr>
    </w:p>
    <w:p w14:paraId="6D7C2E2E" w14:textId="77777777" w:rsidR="005F79CF" w:rsidRDefault="005F79CF" w:rsidP="00AD07D0">
      <w:pPr>
        <w:tabs>
          <w:tab w:val="left" w:pos="360"/>
          <w:tab w:val="left" w:pos="720"/>
          <w:tab w:val="left" w:pos="1080"/>
          <w:tab w:val="left" w:pos="1440"/>
          <w:tab w:val="right" w:leader="dot" w:pos="10080"/>
        </w:tabs>
      </w:pPr>
      <w:r>
        <w:t>III.</w:t>
      </w:r>
      <w:r>
        <w:tab/>
        <w:t>Emissions Units and Conditions.</w:t>
      </w:r>
    </w:p>
    <w:p w14:paraId="1AEF37A8" w14:textId="049055D1" w:rsidR="008A0AD2" w:rsidRPr="008A0AD2" w:rsidRDefault="008A0AD2" w:rsidP="00114020">
      <w:pPr>
        <w:numPr>
          <w:ilvl w:val="0"/>
          <w:numId w:val="122"/>
        </w:numPr>
        <w:tabs>
          <w:tab w:val="left" w:pos="360"/>
          <w:tab w:val="left" w:pos="720"/>
          <w:tab w:val="left" w:pos="1440"/>
          <w:tab w:val="right" w:leader="dot" w:pos="10080"/>
        </w:tabs>
        <w:ind w:left="720"/>
        <w:rPr>
          <w:szCs w:val="22"/>
        </w:rPr>
      </w:pPr>
      <w:r>
        <w:rPr>
          <w:szCs w:val="22"/>
        </w:rPr>
        <w:t xml:space="preserve">Emissions Units 001 and 002, Fossil Fuel Fired Steam Generators. </w:t>
      </w:r>
      <w:r>
        <w:rPr>
          <w:szCs w:val="22"/>
        </w:rPr>
        <w:tab/>
      </w:r>
      <w:r w:rsidRPr="008A0AD2">
        <w:rPr>
          <w:szCs w:val="22"/>
        </w:rPr>
        <w:t xml:space="preserve"> </w:t>
      </w:r>
      <w:r w:rsidR="00516719" w:rsidRPr="00516719">
        <w:rPr>
          <w:b/>
          <w:szCs w:val="22"/>
        </w:rPr>
        <w:fldChar w:fldCharType="begin"/>
      </w:r>
      <w:r w:rsidR="00516719" w:rsidRPr="00516719">
        <w:rPr>
          <w:b/>
          <w:szCs w:val="22"/>
        </w:rPr>
        <w:instrText xml:space="preserve"> PAGEREF Section3A \h </w:instrText>
      </w:r>
      <w:r w:rsidR="00516719" w:rsidRPr="00516719">
        <w:rPr>
          <w:b/>
          <w:szCs w:val="22"/>
        </w:rPr>
      </w:r>
      <w:r w:rsidR="00516719" w:rsidRPr="00516719">
        <w:rPr>
          <w:b/>
          <w:szCs w:val="22"/>
        </w:rPr>
        <w:fldChar w:fldCharType="separate"/>
      </w:r>
      <w:r w:rsidR="00D31800">
        <w:rPr>
          <w:b/>
          <w:noProof/>
          <w:szCs w:val="22"/>
        </w:rPr>
        <w:t>8</w:t>
      </w:r>
      <w:r w:rsidR="00516719" w:rsidRPr="00516719">
        <w:rPr>
          <w:b/>
          <w:szCs w:val="22"/>
        </w:rPr>
        <w:fldChar w:fldCharType="end"/>
      </w:r>
    </w:p>
    <w:p w14:paraId="6636E16D" w14:textId="11D4D021" w:rsidR="008A0AD2" w:rsidRPr="008A0AD2" w:rsidRDefault="008A0AD2" w:rsidP="00114020">
      <w:pPr>
        <w:numPr>
          <w:ilvl w:val="0"/>
          <w:numId w:val="122"/>
        </w:numPr>
        <w:tabs>
          <w:tab w:val="left" w:pos="360"/>
          <w:tab w:val="left" w:pos="720"/>
          <w:tab w:val="left" w:pos="1440"/>
          <w:tab w:val="right" w:leader="dot" w:pos="10080"/>
        </w:tabs>
        <w:ind w:left="720"/>
        <w:rPr>
          <w:szCs w:val="22"/>
        </w:rPr>
      </w:pPr>
      <w:r w:rsidRPr="008A0AD2">
        <w:rPr>
          <w:szCs w:val="22"/>
        </w:rPr>
        <w:t xml:space="preserve">Emissions Units 003, 004, 005 and 006, Combined Cycle Units 3 and 4 (two “2-on-1” sets). </w:t>
      </w:r>
      <w:r w:rsidRPr="008A0AD2">
        <w:rPr>
          <w:szCs w:val="22"/>
        </w:rPr>
        <w:tab/>
        <w:t xml:space="preserve"> </w:t>
      </w:r>
      <w:r w:rsidR="00516719" w:rsidRPr="00516719">
        <w:rPr>
          <w:b/>
          <w:noProof/>
          <w:szCs w:val="22"/>
        </w:rPr>
        <w:fldChar w:fldCharType="begin"/>
      </w:r>
      <w:r w:rsidR="00516719" w:rsidRPr="00516719">
        <w:rPr>
          <w:b/>
          <w:szCs w:val="22"/>
        </w:rPr>
        <w:instrText xml:space="preserve"> PAGEREF Section3B \h </w:instrText>
      </w:r>
      <w:r w:rsidR="00516719" w:rsidRPr="00516719">
        <w:rPr>
          <w:b/>
          <w:noProof/>
          <w:szCs w:val="22"/>
        </w:rPr>
      </w:r>
      <w:r w:rsidR="00516719" w:rsidRPr="00516719">
        <w:rPr>
          <w:b/>
          <w:noProof/>
          <w:szCs w:val="22"/>
        </w:rPr>
        <w:fldChar w:fldCharType="separate"/>
      </w:r>
      <w:r w:rsidR="00D31800">
        <w:rPr>
          <w:b/>
          <w:noProof/>
          <w:szCs w:val="22"/>
        </w:rPr>
        <w:t>25</w:t>
      </w:r>
      <w:r w:rsidR="00516719" w:rsidRPr="00516719">
        <w:rPr>
          <w:b/>
          <w:noProof/>
          <w:szCs w:val="22"/>
        </w:rPr>
        <w:fldChar w:fldCharType="end"/>
      </w:r>
    </w:p>
    <w:p w14:paraId="6272F1AE" w14:textId="5BCCB1FD" w:rsidR="008A0AD2" w:rsidRPr="008A0AD2" w:rsidRDefault="008A0AD2" w:rsidP="00114020">
      <w:pPr>
        <w:numPr>
          <w:ilvl w:val="0"/>
          <w:numId w:val="122"/>
        </w:numPr>
        <w:tabs>
          <w:tab w:val="left" w:pos="360"/>
          <w:tab w:val="left" w:pos="720"/>
          <w:tab w:val="left" w:pos="1440"/>
          <w:tab w:val="right" w:leader="dot" w:pos="10080"/>
        </w:tabs>
        <w:ind w:left="720"/>
        <w:rPr>
          <w:szCs w:val="22"/>
        </w:rPr>
      </w:pPr>
      <w:r w:rsidRPr="008A0AD2">
        <w:rPr>
          <w:szCs w:val="22"/>
        </w:rPr>
        <w:t xml:space="preserve">Emissions Unit 026, 13.23 MMBtu/hr. Auxiliary Boiler – New. </w:t>
      </w:r>
      <w:r w:rsidRPr="008A0AD2">
        <w:rPr>
          <w:szCs w:val="22"/>
        </w:rPr>
        <w:tab/>
        <w:t xml:space="preserve"> </w:t>
      </w:r>
      <w:r w:rsidR="00516719" w:rsidRPr="00516719">
        <w:rPr>
          <w:b/>
          <w:noProof/>
          <w:szCs w:val="22"/>
        </w:rPr>
        <w:fldChar w:fldCharType="begin"/>
      </w:r>
      <w:r w:rsidR="00516719" w:rsidRPr="00516719">
        <w:rPr>
          <w:b/>
          <w:szCs w:val="22"/>
        </w:rPr>
        <w:instrText xml:space="preserve"> PAGEREF Section3C \h </w:instrText>
      </w:r>
      <w:r w:rsidR="00516719" w:rsidRPr="00516719">
        <w:rPr>
          <w:b/>
          <w:noProof/>
          <w:szCs w:val="22"/>
        </w:rPr>
      </w:r>
      <w:r w:rsidR="00516719" w:rsidRPr="00516719">
        <w:rPr>
          <w:b/>
          <w:noProof/>
          <w:szCs w:val="22"/>
        </w:rPr>
        <w:fldChar w:fldCharType="separate"/>
      </w:r>
      <w:r w:rsidR="00D31800">
        <w:rPr>
          <w:b/>
          <w:noProof/>
          <w:szCs w:val="22"/>
        </w:rPr>
        <w:t>37</w:t>
      </w:r>
      <w:r w:rsidR="00516719" w:rsidRPr="00516719">
        <w:rPr>
          <w:b/>
          <w:noProof/>
          <w:szCs w:val="22"/>
        </w:rPr>
        <w:fldChar w:fldCharType="end"/>
      </w:r>
    </w:p>
    <w:p w14:paraId="6EAE8D4E" w14:textId="490CCF1C" w:rsidR="008A0AD2" w:rsidRPr="008A0AD2" w:rsidRDefault="008A0AD2" w:rsidP="00114020">
      <w:pPr>
        <w:numPr>
          <w:ilvl w:val="0"/>
          <w:numId w:val="122"/>
        </w:numPr>
        <w:tabs>
          <w:tab w:val="left" w:pos="360"/>
          <w:tab w:val="left" w:pos="720"/>
          <w:tab w:val="left" w:pos="1440"/>
          <w:tab w:val="right" w:leader="dot" w:pos="10080"/>
        </w:tabs>
        <w:ind w:left="720"/>
        <w:rPr>
          <w:szCs w:val="22"/>
        </w:rPr>
      </w:pPr>
      <w:r w:rsidRPr="008A0AD2">
        <w:rPr>
          <w:szCs w:val="22"/>
        </w:rPr>
        <w:t xml:space="preserve">Emissions Units 011, 012, 017 and 018, Combined Cycle Unit 8 (one “4-on-1” set). </w:t>
      </w:r>
      <w:r w:rsidRPr="008A0AD2">
        <w:rPr>
          <w:szCs w:val="22"/>
        </w:rPr>
        <w:tab/>
        <w:t xml:space="preserve"> </w:t>
      </w:r>
      <w:r w:rsidR="00516719" w:rsidRPr="00516719">
        <w:rPr>
          <w:b/>
          <w:noProof/>
          <w:szCs w:val="22"/>
        </w:rPr>
        <w:fldChar w:fldCharType="begin"/>
      </w:r>
      <w:r w:rsidR="00516719" w:rsidRPr="00516719">
        <w:rPr>
          <w:b/>
          <w:szCs w:val="22"/>
        </w:rPr>
        <w:instrText xml:space="preserve"> PAGEREF Section3D \h </w:instrText>
      </w:r>
      <w:r w:rsidR="00516719" w:rsidRPr="00516719">
        <w:rPr>
          <w:b/>
          <w:noProof/>
          <w:szCs w:val="22"/>
        </w:rPr>
      </w:r>
      <w:r w:rsidR="00516719" w:rsidRPr="00516719">
        <w:rPr>
          <w:b/>
          <w:noProof/>
          <w:szCs w:val="22"/>
        </w:rPr>
        <w:fldChar w:fldCharType="separate"/>
      </w:r>
      <w:r w:rsidR="00D31800">
        <w:rPr>
          <w:b/>
          <w:noProof/>
          <w:szCs w:val="22"/>
        </w:rPr>
        <w:t>41</w:t>
      </w:r>
      <w:r w:rsidR="00516719" w:rsidRPr="00516719">
        <w:rPr>
          <w:b/>
          <w:noProof/>
          <w:szCs w:val="22"/>
        </w:rPr>
        <w:fldChar w:fldCharType="end"/>
      </w:r>
    </w:p>
    <w:p w14:paraId="396FD529" w14:textId="37B77579" w:rsidR="008A0AD2" w:rsidRPr="008A0AD2" w:rsidRDefault="008A0AD2" w:rsidP="00114020">
      <w:pPr>
        <w:numPr>
          <w:ilvl w:val="0"/>
          <w:numId w:val="122"/>
        </w:numPr>
        <w:tabs>
          <w:tab w:val="left" w:pos="360"/>
          <w:tab w:val="left" w:pos="720"/>
          <w:tab w:val="left" w:pos="1440"/>
          <w:tab w:val="right" w:leader="dot" w:pos="10080"/>
        </w:tabs>
        <w:ind w:left="720"/>
        <w:rPr>
          <w:szCs w:val="22"/>
        </w:rPr>
      </w:pPr>
      <w:r w:rsidRPr="008A0AD2">
        <w:rPr>
          <w:szCs w:val="22"/>
        </w:rPr>
        <w:t xml:space="preserve">Emissions Unit 019, Mechanical Draft Cooling Tower. </w:t>
      </w:r>
      <w:r w:rsidRPr="008A0AD2">
        <w:rPr>
          <w:szCs w:val="22"/>
        </w:rPr>
        <w:tab/>
        <w:t xml:space="preserve"> </w:t>
      </w:r>
      <w:r w:rsidR="00516719" w:rsidRPr="00516719">
        <w:rPr>
          <w:b/>
          <w:noProof/>
          <w:szCs w:val="22"/>
        </w:rPr>
        <w:fldChar w:fldCharType="begin"/>
      </w:r>
      <w:r w:rsidR="00516719" w:rsidRPr="00516719">
        <w:rPr>
          <w:b/>
          <w:szCs w:val="22"/>
        </w:rPr>
        <w:instrText xml:space="preserve"> PAGEREF Section3E \h </w:instrText>
      </w:r>
      <w:r w:rsidR="00516719" w:rsidRPr="00516719">
        <w:rPr>
          <w:b/>
          <w:noProof/>
          <w:szCs w:val="22"/>
        </w:rPr>
      </w:r>
      <w:r w:rsidR="00516719" w:rsidRPr="00516719">
        <w:rPr>
          <w:b/>
          <w:noProof/>
          <w:szCs w:val="22"/>
        </w:rPr>
        <w:fldChar w:fldCharType="separate"/>
      </w:r>
      <w:r w:rsidR="00D31800">
        <w:rPr>
          <w:b/>
          <w:noProof/>
          <w:szCs w:val="22"/>
        </w:rPr>
        <w:t>5</w:t>
      </w:r>
      <w:r w:rsidR="00D31800">
        <w:rPr>
          <w:b/>
          <w:noProof/>
          <w:szCs w:val="22"/>
        </w:rPr>
        <w:t>5</w:t>
      </w:r>
      <w:r w:rsidR="00516719" w:rsidRPr="00516719">
        <w:rPr>
          <w:b/>
          <w:noProof/>
          <w:szCs w:val="22"/>
        </w:rPr>
        <w:fldChar w:fldCharType="end"/>
      </w:r>
    </w:p>
    <w:p w14:paraId="1251480F" w14:textId="0682992B" w:rsidR="008A0AD2" w:rsidRPr="008A0AD2" w:rsidRDefault="008A0AD2" w:rsidP="00114020">
      <w:pPr>
        <w:numPr>
          <w:ilvl w:val="0"/>
          <w:numId w:val="122"/>
        </w:numPr>
        <w:tabs>
          <w:tab w:val="left" w:pos="360"/>
          <w:tab w:val="left" w:pos="720"/>
          <w:tab w:val="left" w:pos="1440"/>
          <w:tab w:val="right" w:leader="dot" w:pos="10080"/>
        </w:tabs>
        <w:ind w:left="720"/>
        <w:rPr>
          <w:szCs w:val="22"/>
        </w:rPr>
      </w:pPr>
      <w:r w:rsidRPr="008A0AD2">
        <w:rPr>
          <w:szCs w:val="22"/>
        </w:rPr>
        <w:t xml:space="preserve">Emissions Unit 014, Two Distillate Oil Storage Tanks. </w:t>
      </w:r>
      <w:r w:rsidRPr="008A0AD2">
        <w:rPr>
          <w:szCs w:val="22"/>
        </w:rPr>
        <w:tab/>
        <w:t xml:space="preserve"> </w:t>
      </w:r>
      <w:r w:rsidR="00516719" w:rsidRPr="00516719">
        <w:rPr>
          <w:b/>
          <w:noProof/>
          <w:szCs w:val="22"/>
        </w:rPr>
        <w:fldChar w:fldCharType="begin"/>
      </w:r>
      <w:r w:rsidR="00516719" w:rsidRPr="00516719">
        <w:rPr>
          <w:b/>
          <w:szCs w:val="22"/>
        </w:rPr>
        <w:instrText xml:space="preserve"> PAGEREF Section3F \h </w:instrText>
      </w:r>
      <w:r w:rsidR="00516719" w:rsidRPr="00516719">
        <w:rPr>
          <w:b/>
          <w:noProof/>
          <w:szCs w:val="22"/>
        </w:rPr>
      </w:r>
      <w:r w:rsidR="00516719" w:rsidRPr="00516719">
        <w:rPr>
          <w:b/>
          <w:noProof/>
          <w:szCs w:val="22"/>
        </w:rPr>
        <w:fldChar w:fldCharType="separate"/>
      </w:r>
      <w:r w:rsidR="00D31800">
        <w:rPr>
          <w:b/>
          <w:noProof/>
          <w:szCs w:val="22"/>
        </w:rPr>
        <w:t>5</w:t>
      </w:r>
      <w:r w:rsidR="00D31800">
        <w:rPr>
          <w:b/>
          <w:noProof/>
          <w:szCs w:val="22"/>
        </w:rPr>
        <w:t>6</w:t>
      </w:r>
      <w:r w:rsidR="00516719" w:rsidRPr="00516719">
        <w:rPr>
          <w:b/>
          <w:noProof/>
          <w:szCs w:val="22"/>
        </w:rPr>
        <w:fldChar w:fldCharType="end"/>
      </w:r>
    </w:p>
    <w:p w14:paraId="534629D6" w14:textId="7918CAB2" w:rsidR="008A0AD2" w:rsidRPr="008A0AD2" w:rsidRDefault="008A0AD2" w:rsidP="00114020">
      <w:pPr>
        <w:numPr>
          <w:ilvl w:val="0"/>
          <w:numId w:val="122"/>
        </w:numPr>
        <w:tabs>
          <w:tab w:val="left" w:pos="360"/>
          <w:tab w:val="left" w:pos="720"/>
          <w:tab w:val="left" w:pos="1440"/>
          <w:tab w:val="right" w:leader="dot" w:pos="10080"/>
        </w:tabs>
        <w:ind w:left="720"/>
        <w:rPr>
          <w:szCs w:val="22"/>
        </w:rPr>
      </w:pPr>
      <w:r w:rsidRPr="008A0AD2">
        <w:rPr>
          <w:szCs w:val="22"/>
        </w:rPr>
        <w:t xml:space="preserve">Emissions Unit 022, One Diesel Engine-driven Emergency Fire Pump. </w:t>
      </w:r>
      <w:r w:rsidRPr="008A0AD2">
        <w:rPr>
          <w:szCs w:val="22"/>
        </w:rPr>
        <w:tab/>
        <w:t xml:space="preserve"> </w:t>
      </w:r>
      <w:r w:rsidR="00516719" w:rsidRPr="00516719">
        <w:rPr>
          <w:b/>
          <w:noProof/>
          <w:szCs w:val="22"/>
        </w:rPr>
        <w:fldChar w:fldCharType="begin"/>
      </w:r>
      <w:r w:rsidR="00516719" w:rsidRPr="00516719">
        <w:rPr>
          <w:b/>
          <w:szCs w:val="22"/>
        </w:rPr>
        <w:instrText xml:space="preserve"> PAGEREF Section3G \h </w:instrText>
      </w:r>
      <w:r w:rsidR="00516719" w:rsidRPr="00516719">
        <w:rPr>
          <w:b/>
          <w:noProof/>
          <w:szCs w:val="22"/>
        </w:rPr>
      </w:r>
      <w:r w:rsidR="00516719" w:rsidRPr="00516719">
        <w:rPr>
          <w:b/>
          <w:noProof/>
          <w:szCs w:val="22"/>
        </w:rPr>
        <w:fldChar w:fldCharType="separate"/>
      </w:r>
      <w:r w:rsidR="00D31800">
        <w:rPr>
          <w:b/>
          <w:noProof/>
          <w:szCs w:val="22"/>
        </w:rPr>
        <w:t>57</w:t>
      </w:r>
      <w:r w:rsidR="00516719" w:rsidRPr="00516719">
        <w:rPr>
          <w:b/>
          <w:noProof/>
          <w:szCs w:val="22"/>
        </w:rPr>
        <w:fldChar w:fldCharType="end"/>
      </w:r>
    </w:p>
    <w:p w14:paraId="45BFCE09" w14:textId="73C3ABE0" w:rsidR="008A0AD2" w:rsidRPr="008A0AD2" w:rsidRDefault="008A0AD2" w:rsidP="00114020">
      <w:pPr>
        <w:numPr>
          <w:ilvl w:val="0"/>
          <w:numId w:val="122"/>
        </w:numPr>
        <w:tabs>
          <w:tab w:val="left" w:pos="360"/>
          <w:tab w:val="left" w:pos="720"/>
          <w:tab w:val="left" w:pos="1440"/>
          <w:tab w:val="right" w:leader="dot" w:pos="10080"/>
        </w:tabs>
        <w:ind w:left="720"/>
        <w:rPr>
          <w:szCs w:val="22"/>
        </w:rPr>
      </w:pPr>
      <w:r w:rsidRPr="008A0AD2">
        <w:rPr>
          <w:szCs w:val="22"/>
        </w:rPr>
        <w:t xml:space="preserve">Emissions Unit 023, Four Hurricane Emergency Shelter Engines. </w:t>
      </w:r>
      <w:r w:rsidRPr="008A0AD2">
        <w:rPr>
          <w:szCs w:val="22"/>
        </w:rPr>
        <w:tab/>
        <w:t xml:space="preserve"> </w:t>
      </w:r>
      <w:r w:rsidR="00516719" w:rsidRPr="00516719">
        <w:rPr>
          <w:b/>
          <w:noProof/>
          <w:szCs w:val="22"/>
        </w:rPr>
        <w:fldChar w:fldCharType="begin"/>
      </w:r>
      <w:r w:rsidR="00516719" w:rsidRPr="00516719">
        <w:rPr>
          <w:b/>
          <w:szCs w:val="22"/>
        </w:rPr>
        <w:instrText xml:space="preserve"> PAGEREF Section3H \h </w:instrText>
      </w:r>
      <w:r w:rsidR="00516719" w:rsidRPr="00516719">
        <w:rPr>
          <w:b/>
          <w:noProof/>
          <w:szCs w:val="22"/>
        </w:rPr>
      </w:r>
      <w:r w:rsidR="00516719" w:rsidRPr="00516719">
        <w:rPr>
          <w:b/>
          <w:noProof/>
          <w:szCs w:val="22"/>
        </w:rPr>
        <w:fldChar w:fldCharType="separate"/>
      </w:r>
      <w:r w:rsidR="00D31800">
        <w:rPr>
          <w:b/>
          <w:noProof/>
          <w:szCs w:val="22"/>
        </w:rPr>
        <w:t>61</w:t>
      </w:r>
      <w:r w:rsidR="00516719" w:rsidRPr="00516719">
        <w:rPr>
          <w:b/>
          <w:noProof/>
          <w:szCs w:val="22"/>
        </w:rPr>
        <w:fldChar w:fldCharType="end"/>
      </w:r>
    </w:p>
    <w:p w14:paraId="6A4FFA32" w14:textId="51F5A0C9" w:rsidR="008A0AD2" w:rsidRPr="00603823" w:rsidRDefault="008A0AD2" w:rsidP="00114020">
      <w:pPr>
        <w:numPr>
          <w:ilvl w:val="0"/>
          <w:numId w:val="122"/>
        </w:numPr>
        <w:tabs>
          <w:tab w:val="left" w:pos="360"/>
          <w:tab w:val="left" w:pos="720"/>
          <w:tab w:val="left" w:pos="1440"/>
          <w:tab w:val="right" w:leader="dot" w:pos="10080"/>
        </w:tabs>
        <w:spacing w:after="120"/>
        <w:ind w:left="720"/>
        <w:rPr>
          <w:szCs w:val="22"/>
        </w:rPr>
      </w:pPr>
      <w:r w:rsidRPr="00603823">
        <w:rPr>
          <w:szCs w:val="22"/>
        </w:rPr>
        <w:t xml:space="preserve">Emissions Units 024 and 027, Two Spark Ignition Engine-driven Emergency Generators. </w:t>
      </w:r>
      <w:r w:rsidRPr="00603823">
        <w:rPr>
          <w:szCs w:val="22"/>
        </w:rPr>
        <w:tab/>
        <w:t xml:space="preserve"> </w:t>
      </w:r>
      <w:r w:rsidR="00516719" w:rsidRPr="00603823">
        <w:rPr>
          <w:b/>
          <w:noProof/>
          <w:szCs w:val="22"/>
        </w:rPr>
        <w:fldChar w:fldCharType="begin"/>
      </w:r>
      <w:r w:rsidR="00516719" w:rsidRPr="00603823">
        <w:rPr>
          <w:b/>
          <w:szCs w:val="22"/>
        </w:rPr>
        <w:instrText xml:space="preserve"> PAGEREF Section3I \h </w:instrText>
      </w:r>
      <w:r w:rsidR="00516719" w:rsidRPr="00603823">
        <w:rPr>
          <w:b/>
          <w:noProof/>
          <w:szCs w:val="22"/>
        </w:rPr>
      </w:r>
      <w:r w:rsidR="00516719" w:rsidRPr="00603823">
        <w:rPr>
          <w:b/>
          <w:noProof/>
          <w:szCs w:val="22"/>
        </w:rPr>
        <w:fldChar w:fldCharType="separate"/>
      </w:r>
      <w:r w:rsidR="00D31800">
        <w:rPr>
          <w:b/>
          <w:noProof/>
          <w:szCs w:val="22"/>
        </w:rPr>
        <w:t>65</w:t>
      </w:r>
      <w:r w:rsidR="00516719" w:rsidRPr="00603823">
        <w:rPr>
          <w:b/>
          <w:noProof/>
          <w:szCs w:val="22"/>
        </w:rPr>
        <w:fldChar w:fldCharType="end"/>
      </w:r>
    </w:p>
    <w:p w14:paraId="2B7B2199" w14:textId="053D4791" w:rsidR="005F79CF" w:rsidRDefault="005F79CF" w:rsidP="008A0AD2">
      <w:pPr>
        <w:tabs>
          <w:tab w:val="left" w:pos="360"/>
          <w:tab w:val="left" w:pos="720"/>
          <w:tab w:val="left" w:pos="1080"/>
          <w:tab w:val="left" w:pos="1440"/>
          <w:tab w:val="right" w:leader="dot" w:pos="10080"/>
        </w:tabs>
      </w:pPr>
    </w:p>
    <w:p w14:paraId="2DC4A9BF" w14:textId="6F40774D" w:rsidR="005F79CF" w:rsidRPr="003A52E8" w:rsidRDefault="005F79CF" w:rsidP="00AD07D0">
      <w:pPr>
        <w:tabs>
          <w:tab w:val="left" w:pos="360"/>
          <w:tab w:val="left" w:pos="720"/>
          <w:tab w:val="left" w:pos="1080"/>
          <w:tab w:val="left" w:pos="1440"/>
          <w:tab w:val="right" w:leader="dot" w:pos="10080"/>
        </w:tabs>
      </w:pPr>
      <w:r w:rsidRPr="003A52E8">
        <w:t>IV.</w:t>
      </w:r>
      <w:r w:rsidRPr="003A52E8">
        <w:tab/>
        <w:t xml:space="preserve">Acid Rain Part. </w:t>
      </w:r>
      <w:r w:rsidRPr="003A52E8">
        <w:tab/>
        <w:t xml:space="preserve"> </w:t>
      </w:r>
      <w:r w:rsidR="00516719" w:rsidRPr="00DC5409">
        <w:rPr>
          <w:b/>
          <w:highlight w:val="yellow"/>
        </w:rPr>
        <w:fldChar w:fldCharType="begin"/>
      </w:r>
      <w:r w:rsidR="00516719" w:rsidRPr="00DC5409">
        <w:rPr>
          <w:b/>
        </w:rPr>
        <w:instrText xml:space="preserve"> PAGEREF Section4 \h </w:instrText>
      </w:r>
      <w:r w:rsidR="00516719" w:rsidRPr="00DC5409">
        <w:rPr>
          <w:b/>
          <w:highlight w:val="yellow"/>
        </w:rPr>
      </w:r>
      <w:r w:rsidR="00516719" w:rsidRPr="00DC5409">
        <w:rPr>
          <w:b/>
          <w:highlight w:val="yellow"/>
        </w:rPr>
        <w:fldChar w:fldCharType="separate"/>
      </w:r>
      <w:r w:rsidR="00D31800">
        <w:rPr>
          <w:b/>
          <w:noProof/>
        </w:rPr>
        <w:t>72</w:t>
      </w:r>
      <w:r w:rsidR="00516719" w:rsidRPr="00DC5409">
        <w:rPr>
          <w:b/>
          <w:highlight w:val="yellow"/>
        </w:rPr>
        <w:fldChar w:fldCharType="end"/>
      </w:r>
    </w:p>
    <w:p w14:paraId="6CB0E2F2" w14:textId="77777777" w:rsidR="00186B07" w:rsidRPr="003A52E8" w:rsidRDefault="00186B07" w:rsidP="00186B07">
      <w:pPr>
        <w:tabs>
          <w:tab w:val="left" w:pos="360"/>
          <w:tab w:val="left" w:pos="720"/>
          <w:tab w:val="left" w:pos="1080"/>
          <w:tab w:val="left" w:pos="1440"/>
          <w:tab w:val="right" w:leader="dot" w:pos="10080"/>
        </w:tabs>
      </w:pPr>
      <w:r w:rsidRPr="003A52E8">
        <w:tab/>
        <w:t>Phase II Acid Rain Application/Compliance Plan.</w:t>
      </w:r>
    </w:p>
    <w:p w14:paraId="535DE999" w14:textId="77777777" w:rsidR="00D91394" w:rsidRDefault="00D91394" w:rsidP="00AD07D0">
      <w:pPr>
        <w:tabs>
          <w:tab w:val="left" w:pos="360"/>
          <w:tab w:val="left" w:pos="720"/>
          <w:tab w:val="left" w:pos="1080"/>
          <w:tab w:val="left" w:pos="1440"/>
          <w:tab w:val="right" w:leader="dot" w:pos="10080"/>
        </w:tabs>
      </w:pPr>
    </w:p>
    <w:p w14:paraId="7A2F1001" w14:textId="1B0875B9" w:rsidR="005F79CF" w:rsidRDefault="005F79CF" w:rsidP="00AD07D0">
      <w:pPr>
        <w:tabs>
          <w:tab w:val="left" w:pos="360"/>
          <w:tab w:val="left" w:pos="720"/>
          <w:tab w:val="left" w:pos="1080"/>
          <w:tab w:val="left" w:pos="1440"/>
          <w:tab w:val="right" w:leader="dot" w:pos="10080"/>
        </w:tabs>
      </w:pPr>
      <w:r w:rsidRPr="005A3FEF">
        <w:t>V.</w:t>
      </w:r>
      <w:r w:rsidRPr="005A3FEF">
        <w:tab/>
      </w:r>
      <w:r w:rsidR="004642C4" w:rsidRPr="005A3FEF">
        <w:t>Appendices</w:t>
      </w:r>
      <w:r w:rsidRPr="005A3FEF">
        <w:t xml:space="preserve">. </w:t>
      </w:r>
      <w:r w:rsidRPr="005A3FEF">
        <w:tab/>
      </w:r>
      <w:r w:rsidR="005A3FEF" w:rsidRPr="005A3FEF">
        <w:t>See Attached Appendices</w:t>
      </w:r>
    </w:p>
    <w:p w14:paraId="7A85FD02" w14:textId="77777777" w:rsidR="004A234B" w:rsidRDefault="004A234B" w:rsidP="00AD07D0">
      <w:pPr>
        <w:tabs>
          <w:tab w:val="left" w:pos="360"/>
          <w:tab w:val="left" w:pos="720"/>
          <w:tab w:val="left" w:pos="1080"/>
          <w:tab w:val="left" w:pos="1440"/>
          <w:tab w:val="right" w:leader="dot" w:pos="10080"/>
        </w:tabs>
      </w:pPr>
      <w:r>
        <w:tab/>
        <w:t>Appendix A</w:t>
      </w:r>
      <w:r w:rsidR="00EB428B">
        <w:t>,</w:t>
      </w:r>
      <w:r>
        <w:t xml:space="preserve"> Glossary</w:t>
      </w:r>
      <w:r w:rsidR="009D0532">
        <w:t>.</w:t>
      </w:r>
    </w:p>
    <w:p w14:paraId="01481F4E" w14:textId="2C892374" w:rsidR="00186B07" w:rsidRPr="00250E29" w:rsidRDefault="00186B07" w:rsidP="00AD07D0">
      <w:pPr>
        <w:tabs>
          <w:tab w:val="left" w:pos="360"/>
          <w:tab w:val="left" w:pos="720"/>
          <w:tab w:val="left" w:pos="1080"/>
          <w:tab w:val="left" w:pos="1440"/>
          <w:tab w:val="right" w:leader="dot" w:pos="10080"/>
        </w:tabs>
      </w:pPr>
      <w:r>
        <w:tab/>
      </w:r>
      <w:r w:rsidRPr="00250E29">
        <w:t xml:space="preserve">Appendix ASP, ASP Number </w:t>
      </w:r>
      <w:r w:rsidR="001602F0" w:rsidRPr="00250E29">
        <w:t>15-G-AP</w:t>
      </w:r>
      <w:r w:rsidRPr="00250E29">
        <w:t xml:space="preserve"> </w:t>
      </w:r>
      <w:r w:rsidR="00B03710" w:rsidRPr="00250E29">
        <w:t>– CTM-027 – Reduction in Traverse Points if No Stratification</w:t>
      </w:r>
      <w:r w:rsidRPr="00250E29">
        <w:t>.</w:t>
      </w:r>
    </w:p>
    <w:p w14:paraId="46E5A444" w14:textId="77777777" w:rsidR="004B723E" w:rsidRPr="00250E29" w:rsidRDefault="004B723E" w:rsidP="004B723E">
      <w:pPr>
        <w:tabs>
          <w:tab w:val="left" w:pos="360"/>
          <w:tab w:val="left" w:pos="720"/>
          <w:tab w:val="left" w:pos="1080"/>
          <w:tab w:val="left" w:pos="1440"/>
          <w:tab w:val="right" w:leader="dot" w:pos="10080"/>
        </w:tabs>
      </w:pPr>
      <w:r w:rsidRPr="00250E29">
        <w:tab/>
        <w:t>Appendix CAM, Compliance Assurance Monitoring Plan.</w:t>
      </w:r>
    </w:p>
    <w:p w14:paraId="780361C8" w14:textId="04AD75EB" w:rsidR="0014142B" w:rsidRDefault="0015428B" w:rsidP="004B723E">
      <w:pPr>
        <w:tabs>
          <w:tab w:val="left" w:pos="360"/>
          <w:tab w:val="left" w:pos="720"/>
          <w:tab w:val="left" w:pos="1080"/>
          <w:tab w:val="left" w:pos="1440"/>
          <w:tab w:val="right" w:leader="dot" w:pos="10080"/>
        </w:tabs>
      </w:pPr>
      <w:r w:rsidRPr="00250E29">
        <w:tab/>
      </w:r>
      <w:r w:rsidR="0014142B" w:rsidRPr="00250E29">
        <w:t>Appendix CFMS, Custom Fuel Monitoring Schedule</w:t>
      </w:r>
      <w:r w:rsidR="0014142B">
        <w:t>.</w:t>
      </w:r>
    </w:p>
    <w:p w14:paraId="6C22115E" w14:textId="137DFDA3" w:rsidR="009C6074" w:rsidRPr="00250E29" w:rsidRDefault="0014142B" w:rsidP="004B723E">
      <w:pPr>
        <w:tabs>
          <w:tab w:val="left" w:pos="360"/>
          <w:tab w:val="left" w:pos="720"/>
          <w:tab w:val="left" w:pos="1080"/>
          <w:tab w:val="left" w:pos="1440"/>
          <w:tab w:val="right" w:leader="dot" w:pos="10080"/>
        </w:tabs>
      </w:pPr>
      <w:r>
        <w:tab/>
      </w:r>
      <w:r w:rsidR="009C6074" w:rsidRPr="00250E29">
        <w:t>Appendix CP, Compliance Plan</w:t>
      </w:r>
      <w:r w:rsidR="00250E29">
        <w:t>.</w:t>
      </w:r>
    </w:p>
    <w:p w14:paraId="720122FB" w14:textId="60085C11" w:rsidR="004B723E" w:rsidRPr="00250E29" w:rsidRDefault="00B03710" w:rsidP="004B723E">
      <w:pPr>
        <w:tabs>
          <w:tab w:val="left" w:pos="360"/>
          <w:tab w:val="left" w:pos="720"/>
          <w:tab w:val="left" w:pos="1080"/>
          <w:tab w:val="left" w:pos="1440"/>
          <w:tab w:val="right" w:leader="dot" w:pos="10080"/>
        </w:tabs>
      </w:pPr>
      <w:r w:rsidRPr="00250E29">
        <w:tab/>
      </w:r>
      <w:r w:rsidR="004B723E" w:rsidRPr="00250E29">
        <w:t>Appendix I, List of Insignificant Emissions Units and/or Activities.</w:t>
      </w:r>
    </w:p>
    <w:p w14:paraId="30A7DD50" w14:textId="77777777" w:rsidR="009631A9" w:rsidRPr="00250E29" w:rsidRDefault="009631A9" w:rsidP="004B723E">
      <w:pPr>
        <w:tabs>
          <w:tab w:val="left" w:pos="360"/>
          <w:tab w:val="left" w:pos="720"/>
          <w:tab w:val="left" w:pos="1080"/>
          <w:tab w:val="left" w:pos="1440"/>
          <w:tab w:val="right" w:leader="dot" w:pos="10080"/>
        </w:tabs>
      </w:pPr>
      <w:r w:rsidRPr="00250E29">
        <w:tab/>
        <w:t>Appendix NESHAP, Subpart A – General Provisions. (Include for all units that are subject to a NESHAP)</w:t>
      </w:r>
    </w:p>
    <w:p w14:paraId="32E20FB8" w14:textId="4931B9A3" w:rsidR="0015428B" w:rsidRPr="00250E29" w:rsidRDefault="0015428B" w:rsidP="00B03710">
      <w:pPr>
        <w:tabs>
          <w:tab w:val="left" w:pos="360"/>
          <w:tab w:val="left" w:pos="720"/>
          <w:tab w:val="left" w:pos="1080"/>
          <w:tab w:val="left" w:pos="1440"/>
          <w:tab w:val="right" w:leader="dot" w:pos="10080"/>
        </w:tabs>
        <w:ind w:left="360" w:hanging="360"/>
      </w:pPr>
      <w:r w:rsidRPr="00250E29">
        <w:tab/>
        <w:t xml:space="preserve">Appendix NESHAP, </w:t>
      </w:r>
      <w:r w:rsidR="00B03710" w:rsidRPr="00250E29">
        <w:t>Subpart DDDDD – NESHAP for Major Sources:  Industrial, Commercial, and Industrial Boilers and Process Heaters</w:t>
      </w:r>
      <w:r w:rsidR="00250E29">
        <w:t>.</w:t>
      </w:r>
    </w:p>
    <w:p w14:paraId="05F22F4A" w14:textId="05F5FE84" w:rsidR="00B03710" w:rsidRPr="00250E29" w:rsidRDefault="00B03710" w:rsidP="00B03710">
      <w:pPr>
        <w:tabs>
          <w:tab w:val="left" w:pos="360"/>
          <w:tab w:val="left" w:pos="720"/>
          <w:tab w:val="left" w:pos="1080"/>
          <w:tab w:val="left" w:pos="1440"/>
          <w:tab w:val="right" w:leader="dot" w:pos="10080"/>
        </w:tabs>
        <w:ind w:left="360" w:hanging="360"/>
      </w:pPr>
      <w:r w:rsidRPr="00250E29">
        <w:tab/>
        <w:t>Appendix NESHAP, Subpart UUUUU – NESHAP: Coal- and Oil-Fired Electric Utility Steam Generating Units</w:t>
      </w:r>
      <w:r w:rsidR="00250E29">
        <w:t>.</w:t>
      </w:r>
      <w:r w:rsidRPr="00250E29">
        <w:t xml:space="preserve"> </w:t>
      </w:r>
    </w:p>
    <w:p w14:paraId="2581CE87" w14:textId="5268A399" w:rsidR="0015428B" w:rsidRDefault="0015428B" w:rsidP="00D91F6D">
      <w:pPr>
        <w:tabs>
          <w:tab w:val="left" w:pos="360"/>
          <w:tab w:val="left" w:pos="720"/>
          <w:tab w:val="left" w:pos="1080"/>
          <w:tab w:val="left" w:pos="1440"/>
          <w:tab w:val="right" w:leader="dot" w:pos="10080"/>
        </w:tabs>
        <w:ind w:left="720" w:hanging="720"/>
      </w:pPr>
      <w:r w:rsidRPr="00250E29">
        <w:tab/>
        <w:t xml:space="preserve">Appendix NSPS, </w:t>
      </w:r>
      <w:r w:rsidR="00705920" w:rsidRPr="00250E29">
        <w:t>Subpart A</w:t>
      </w:r>
      <w:r w:rsidR="007C2149" w:rsidRPr="00250E29">
        <w:t xml:space="preserve"> – General Provisions</w:t>
      </w:r>
      <w:r w:rsidR="00D91394" w:rsidRPr="00250E29">
        <w:t>.</w:t>
      </w:r>
      <w:r w:rsidR="00AF3D06">
        <w:t xml:space="preserve"> </w:t>
      </w:r>
      <w:r w:rsidR="00705920">
        <w:t xml:space="preserve"> </w:t>
      </w:r>
    </w:p>
    <w:p w14:paraId="7FDCCBDC" w14:textId="44C64947" w:rsidR="000C1108" w:rsidRDefault="000C1108" w:rsidP="004B723E">
      <w:pPr>
        <w:tabs>
          <w:tab w:val="left" w:pos="360"/>
          <w:tab w:val="left" w:pos="720"/>
          <w:tab w:val="left" w:pos="1080"/>
          <w:tab w:val="left" w:pos="1440"/>
          <w:tab w:val="right" w:leader="dot" w:pos="10080"/>
        </w:tabs>
      </w:pPr>
      <w:r>
        <w:tab/>
      </w:r>
      <w:r w:rsidRPr="00250E29">
        <w:t xml:space="preserve">Appendix NSPS, Subpart </w:t>
      </w:r>
      <w:r w:rsidR="00250E29" w:rsidRPr="00250E29">
        <w:t>D – Standards of Performance for Fossil-Fuel-Fired Steam Generators</w:t>
      </w:r>
      <w:r w:rsidR="00250E29">
        <w:t>.</w:t>
      </w:r>
    </w:p>
    <w:p w14:paraId="771CE0EA" w14:textId="2FF42899" w:rsidR="00250E29" w:rsidRDefault="00250E29" w:rsidP="00250E29">
      <w:pPr>
        <w:tabs>
          <w:tab w:val="left" w:pos="360"/>
          <w:tab w:val="left" w:pos="720"/>
          <w:tab w:val="left" w:pos="1080"/>
          <w:tab w:val="left" w:pos="1440"/>
          <w:tab w:val="right" w:leader="dot" w:pos="10080"/>
        </w:tabs>
        <w:ind w:left="360" w:hanging="360"/>
      </w:pPr>
      <w:r>
        <w:tab/>
        <w:t>Appendix NSPS, Subpart Dc – Standards of Performance for Small Industrial-Commercial-Institutional Steam Generating Units.</w:t>
      </w:r>
    </w:p>
    <w:p w14:paraId="4A1EC6B0" w14:textId="61ED5DA9" w:rsidR="00250E29" w:rsidRDefault="00250E29" w:rsidP="00250E29">
      <w:pPr>
        <w:tabs>
          <w:tab w:val="left" w:pos="360"/>
          <w:tab w:val="left" w:pos="720"/>
          <w:tab w:val="left" w:pos="1080"/>
          <w:tab w:val="left" w:pos="1440"/>
          <w:tab w:val="right" w:leader="dot" w:pos="10080"/>
        </w:tabs>
        <w:ind w:left="360" w:hanging="360"/>
      </w:pPr>
      <w:r>
        <w:tab/>
        <w:t>Appendix NSPS, Subpart GG – Standards of Performance for Stationary Gas Turbines.</w:t>
      </w:r>
    </w:p>
    <w:p w14:paraId="6A2EFD20" w14:textId="69B05B3E" w:rsidR="00250E29" w:rsidRDefault="00250E29" w:rsidP="00250E29">
      <w:pPr>
        <w:tabs>
          <w:tab w:val="left" w:pos="360"/>
          <w:tab w:val="left" w:pos="720"/>
          <w:tab w:val="left" w:pos="1080"/>
          <w:tab w:val="left" w:pos="1440"/>
          <w:tab w:val="right" w:leader="dot" w:pos="10080"/>
        </w:tabs>
        <w:ind w:left="360" w:hanging="360"/>
      </w:pPr>
      <w:r>
        <w:tab/>
        <w:t>Appendix NSPS, Subpart KKKK – Standards of Performance for Stationary Combustion Turbines.</w:t>
      </w:r>
    </w:p>
    <w:p w14:paraId="5485A750" w14:textId="77777777" w:rsidR="004A234B" w:rsidRDefault="004A234B" w:rsidP="00AD07D0">
      <w:pPr>
        <w:tabs>
          <w:tab w:val="left" w:pos="360"/>
          <w:tab w:val="left" w:pos="720"/>
          <w:tab w:val="left" w:pos="1080"/>
          <w:tab w:val="left" w:pos="1440"/>
          <w:tab w:val="right" w:leader="dot" w:pos="10080"/>
        </w:tabs>
      </w:pPr>
      <w:r>
        <w:tab/>
        <w:t xml:space="preserve">Appendix </w:t>
      </w:r>
      <w:r w:rsidR="009D0532">
        <w:t>RR</w:t>
      </w:r>
      <w:r w:rsidR="00EB428B">
        <w:t>,</w:t>
      </w:r>
      <w:r w:rsidR="009D0532">
        <w:t xml:space="preserve"> Facility-wide Reporting Requirements.</w:t>
      </w:r>
    </w:p>
    <w:p w14:paraId="26709396" w14:textId="77777777" w:rsidR="009D0532" w:rsidRDefault="009D0532" w:rsidP="00AD07D0">
      <w:pPr>
        <w:tabs>
          <w:tab w:val="left" w:pos="360"/>
          <w:tab w:val="left" w:pos="720"/>
          <w:tab w:val="left" w:pos="1080"/>
          <w:tab w:val="left" w:pos="1440"/>
          <w:tab w:val="right" w:leader="dot" w:pos="10080"/>
        </w:tabs>
      </w:pPr>
      <w:r>
        <w:tab/>
        <w:t>Appendix TR</w:t>
      </w:r>
      <w:r w:rsidR="00EB428B">
        <w:t>,</w:t>
      </w:r>
      <w:r>
        <w:t xml:space="preserve"> </w:t>
      </w:r>
      <w:bookmarkStart w:id="2" w:name="OLE_LINK1"/>
      <w:bookmarkStart w:id="3" w:name="OLE_LINK2"/>
      <w:r>
        <w:t>Facility-wide Testing Requirements.</w:t>
      </w:r>
      <w:bookmarkEnd w:id="2"/>
      <w:bookmarkEnd w:id="3"/>
    </w:p>
    <w:p w14:paraId="47DAAE12" w14:textId="77777777" w:rsidR="009D0532" w:rsidRDefault="009D0532" w:rsidP="00AD07D0">
      <w:pPr>
        <w:tabs>
          <w:tab w:val="left" w:pos="360"/>
          <w:tab w:val="left" w:pos="720"/>
          <w:tab w:val="left" w:pos="1080"/>
          <w:tab w:val="left" w:pos="1440"/>
          <w:tab w:val="right" w:leader="dot" w:pos="10080"/>
        </w:tabs>
      </w:pPr>
      <w:r>
        <w:tab/>
        <w:t>Appendix TV</w:t>
      </w:r>
      <w:r w:rsidR="00EB428B">
        <w:t>,</w:t>
      </w:r>
      <w:r>
        <w:t xml:space="preserve"> Title V General Conditions.</w:t>
      </w:r>
    </w:p>
    <w:p w14:paraId="2B54B471" w14:textId="77777777" w:rsidR="009D0532" w:rsidRPr="00250E29" w:rsidRDefault="009D0532" w:rsidP="00AD07D0">
      <w:pPr>
        <w:tabs>
          <w:tab w:val="left" w:pos="360"/>
          <w:tab w:val="left" w:pos="720"/>
          <w:tab w:val="left" w:pos="1080"/>
          <w:tab w:val="left" w:pos="1440"/>
          <w:tab w:val="right" w:leader="dot" w:pos="10080"/>
        </w:tabs>
      </w:pPr>
      <w:r>
        <w:tab/>
      </w:r>
      <w:r w:rsidRPr="00250E29">
        <w:t>Appendix U, List of Unregulated Emissions Units and/or Activities.</w:t>
      </w:r>
    </w:p>
    <w:p w14:paraId="6B9B2CF6" w14:textId="77777777" w:rsidR="004B723E" w:rsidRPr="00250E29" w:rsidRDefault="004B723E" w:rsidP="00AD07D0">
      <w:pPr>
        <w:tabs>
          <w:tab w:val="left" w:pos="360"/>
          <w:tab w:val="left" w:pos="720"/>
          <w:tab w:val="left" w:pos="1080"/>
          <w:tab w:val="left" w:pos="1440"/>
          <w:tab w:val="right" w:leader="dot" w:pos="10080"/>
        </w:tabs>
      </w:pPr>
    </w:p>
    <w:p w14:paraId="3B18D85F" w14:textId="77777777" w:rsidR="00EB428B" w:rsidRPr="00250E29" w:rsidRDefault="00D91F6D" w:rsidP="00D91F6D">
      <w:pPr>
        <w:tabs>
          <w:tab w:val="left" w:pos="360"/>
          <w:tab w:val="left" w:pos="540"/>
          <w:tab w:val="left" w:pos="720"/>
          <w:tab w:val="left" w:pos="1080"/>
          <w:tab w:val="left" w:pos="1440"/>
          <w:tab w:val="right" w:leader="dot" w:pos="10080"/>
        </w:tabs>
      </w:pPr>
      <w:r w:rsidRPr="00250E29">
        <w:tab/>
      </w:r>
      <w:r w:rsidR="004B723E" w:rsidRPr="00250E29">
        <w:t>Referenced Attachments.</w:t>
      </w:r>
      <w:r w:rsidR="00D07701" w:rsidRPr="00250E29">
        <w:t xml:space="preserve"> </w:t>
      </w:r>
      <w:r w:rsidR="00D07701" w:rsidRPr="00250E29">
        <w:tab/>
        <w:t xml:space="preserve"> At End</w:t>
      </w:r>
    </w:p>
    <w:p w14:paraId="433189DB" w14:textId="77777777" w:rsidR="00186B07" w:rsidRPr="00250E29" w:rsidRDefault="00EB428B" w:rsidP="00D91F6D">
      <w:pPr>
        <w:tabs>
          <w:tab w:val="left" w:pos="360"/>
          <w:tab w:val="left" w:pos="720"/>
          <w:tab w:val="left" w:pos="1080"/>
          <w:tab w:val="left" w:pos="1440"/>
        </w:tabs>
        <w:ind w:left="360"/>
      </w:pPr>
      <w:r w:rsidRPr="00250E29">
        <w:tab/>
      </w:r>
      <w:r w:rsidR="00186B07" w:rsidRPr="00250E29">
        <w:t xml:space="preserve">Figure 1, Summary Report-Gaseous and Opacity Excess Emission and </w:t>
      </w:r>
    </w:p>
    <w:p w14:paraId="5E826C20" w14:textId="6C1BE870" w:rsidR="00186B07" w:rsidRDefault="00186B07" w:rsidP="00D91F6D">
      <w:pPr>
        <w:tabs>
          <w:tab w:val="left" w:pos="360"/>
          <w:tab w:val="left" w:pos="720"/>
          <w:tab w:val="left" w:pos="1080"/>
          <w:tab w:val="left" w:pos="1440"/>
        </w:tabs>
        <w:ind w:left="2160" w:hanging="1800"/>
      </w:pPr>
      <w:r w:rsidRPr="00250E29">
        <w:tab/>
      </w:r>
      <w:r w:rsidRPr="00250E29">
        <w:tab/>
      </w:r>
      <w:r w:rsidRPr="00250E29">
        <w:tab/>
      </w:r>
      <w:r w:rsidR="00C14978" w:rsidRPr="00250E29">
        <w:t xml:space="preserve">  </w:t>
      </w:r>
      <w:r w:rsidRPr="00250E29">
        <w:t>Monitoring System Performance (40 CFR 60, July, 1996)</w:t>
      </w:r>
      <w:r w:rsidR="00C14978" w:rsidRPr="00250E29">
        <w:t>.</w:t>
      </w:r>
      <w:r w:rsidR="007C2149" w:rsidRPr="00250E29">
        <w:t xml:space="preserve">  </w:t>
      </w:r>
    </w:p>
    <w:p w14:paraId="4C7AF219" w14:textId="77777777" w:rsidR="00BC4026" w:rsidRDefault="00BC4026" w:rsidP="00D91F6D">
      <w:pPr>
        <w:tabs>
          <w:tab w:val="left" w:pos="360"/>
          <w:tab w:val="left" w:pos="720"/>
          <w:tab w:val="left" w:pos="1080"/>
          <w:tab w:val="left" w:pos="1440"/>
          <w:tab w:val="right" w:leader="dot" w:pos="10080"/>
        </w:tabs>
        <w:ind w:left="360"/>
      </w:pPr>
      <w:r>
        <w:tab/>
      </w:r>
      <w:r w:rsidR="00AF3D06" w:rsidRPr="00533828">
        <w:t>Table</w:t>
      </w:r>
      <w:r w:rsidRPr="00533828">
        <w:t xml:space="preserve"> H, Permit History.</w:t>
      </w:r>
    </w:p>
    <w:p w14:paraId="533805C4" w14:textId="77777777" w:rsidR="00AD07D0" w:rsidRDefault="00AD07D0" w:rsidP="00A74727"/>
    <w:p w14:paraId="27421967" w14:textId="77777777" w:rsidR="006910A9" w:rsidRDefault="006910A9" w:rsidP="00A74727">
      <w:pPr>
        <w:rPr>
          <w:b/>
        </w:rPr>
        <w:sectPr w:rsidR="006910A9" w:rsidSect="00AD07D0">
          <w:headerReference w:type="even" r:id="rId13"/>
          <w:headerReference w:type="default" r:id="rId14"/>
          <w:footerReference w:type="default" r:id="rId15"/>
          <w:headerReference w:type="first" r:id="rId16"/>
          <w:footerReference w:type="first" r:id="rId17"/>
          <w:pgSz w:w="12240" w:h="15840" w:code="1"/>
          <w:pgMar w:top="1440" w:right="1080" w:bottom="720" w:left="1080" w:header="720" w:footer="720" w:gutter="0"/>
          <w:paperSrc w:first="256" w:other="256"/>
          <w:pgNumType w:fmt="lowerRoman" w:start="1"/>
          <w:cols w:space="720"/>
        </w:sect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035"/>
        <w:gridCol w:w="5035"/>
      </w:tblGrid>
      <w:tr w:rsidR="007039AC" w:rsidRPr="007039AC" w14:paraId="1E7403CC" w14:textId="77777777" w:rsidTr="007039AC">
        <w:tc>
          <w:tcPr>
            <w:tcW w:w="5035" w:type="dxa"/>
          </w:tcPr>
          <w:p w14:paraId="4CC89192" w14:textId="325E9A84" w:rsidR="007039AC" w:rsidRDefault="007039AC" w:rsidP="00E50809">
            <w:pPr>
              <w:tabs>
                <w:tab w:val="left" w:pos="-1440"/>
                <w:tab w:val="left" w:pos="-720"/>
                <w:tab w:val="left" w:pos="5040"/>
                <w:tab w:val="left" w:pos="7470"/>
              </w:tabs>
              <w:suppressAutoHyphens/>
              <w:rPr>
                <w:caps/>
              </w:rPr>
            </w:pPr>
            <w:r w:rsidRPr="0040417D">
              <w:rPr>
                <w:b/>
                <w:caps/>
              </w:rPr>
              <w:t>Permittee:</w:t>
            </w:r>
          </w:p>
          <w:p w14:paraId="1A15CDB4" w14:textId="119B2423" w:rsidR="007039AC" w:rsidRDefault="007039AC" w:rsidP="00E50809">
            <w:pPr>
              <w:tabs>
                <w:tab w:val="left" w:pos="-1440"/>
                <w:tab w:val="left" w:pos="-720"/>
                <w:tab w:val="left" w:pos="5040"/>
                <w:tab w:val="left" w:pos="7470"/>
              </w:tabs>
              <w:suppressAutoHyphens/>
              <w:rPr>
                <w:caps/>
              </w:rPr>
            </w:pPr>
            <w:r w:rsidRPr="0040417D">
              <w:t>Florida Power and Light Company (FPL)</w:t>
            </w:r>
          </w:p>
          <w:p w14:paraId="66E93587" w14:textId="07111795" w:rsidR="007039AC" w:rsidRDefault="007039AC" w:rsidP="00E50809">
            <w:pPr>
              <w:tabs>
                <w:tab w:val="left" w:pos="-1440"/>
                <w:tab w:val="left" w:pos="-720"/>
                <w:tab w:val="left" w:pos="5040"/>
                <w:tab w:val="left" w:pos="7470"/>
              </w:tabs>
              <w:suppressAutoHyphens/>
              <w:rPr>
                <w:caps/>
              </w:rPr>
            </w:pPr>
            <w:r w:rsidRPr="0040417D">
              <w:t>700 Universe Blvd</w:t>
            </w:r>
          </w:p>
          <w:p w14:paraId="2B5CA521" w14:textId="103E6479" w:rsidR="007039AC" w:rsidRPr="007039AC" w:rsidRDefault="007039AC" w:rsidP="00E50809">
            <w:pPr>
              <w:tabs>
                <w:tab w:val="left" w:pos="-1440"/>
                <w:tab w:val="left" w:pos="-720"/>
                <w:tab w:val="left" w:pos="5040"/>
                <w:tab w:val="left" w:pos="7470"/>
              </w:tabs>
              <w:suppressAutoHyphens/>
              <w:rPr>
                <w:caps/>
              </w:rPr>
            </w:pPr>
            <w:r w:rsidRPr="0040417D">
              <w:t>Juno Beach, Florida 33408</w:t>
            </w:r>
          </w:p>
        </w:tc>
        <w:tc>
          <w:tcPr>
            <w:tcW w:w="5035" w:type="dxa"/>
          </w:tcPr>
          <w:p w14:paraId="746329CA" w14:textId="7BEA71B4" w:rsidR="007039AC" w:rsidRDefault="007039AC" w:rsidP="007039AC">
            <w:pPr>
              <w:tabs>
                <w:tab w:val="left" w:pos="-1440"/>
                <w:tab w:val="left" w:pos="-720"/>
                <w:tab w:val="left" w:pos="5040"/>
                <w:tab w:val="left" w:pos="7470"/>
              </w:tabs>
              <w:suppressAutoHyphens/>
              <w:jc w:val="right"/>
              <w:rPr>
                <w:caps/>
              </w:rPr>
            </w:pPr>
            <w:r w:rsidRPr="0040417D">
              <w:t xml:space="preserve">Permit No. </w:t>
            </w:r>
            <w:r w:rsidRPr="0040417D">
              <w:rPr>
                <w:bCs/>
              </w:rPr>
              <w:t>0850001-042-AV</w:t>
            </w:r>
          </w:p>
          <w:p w14:paraId="12BE1F50" w14:textId="26021D5C" w:rsidR="007039AC" w:rsidRDefault="007039AC" w:rsidP="007039AC">
            <w:pPr>
              <w:tabs>
                <w:tab w:val="left" w:pos="-1440"/>
                <w:tab w:val="left" w:pos="-720"/>
                <w:tab w:val="left" w:pos="5040"/>
                <w:tab w:val="left" w:pos="7470"/>
              </w:tabs>
              <w:suppressAutoHyphens/>
              <w:jc w:val="right"/>
              <w:rPr>
                <w:caps/>
              </w:rPr>
            </w:pPr>
            <w:r w:rsidRPr="0040417D">
              <w:t>Martin Power Plant</w:t>
            </w:r>
          </w:p>
          <w:p w14:paraId="54654FA8" w14:textId="1D4ABC92" w:rsidR="007039AC" w:rsidRDefault="007039AC" w:rsidP="007039AC">
            <w:pPr>
              <w:tabs>
                <w:tab w:val="left" w:pos="-1440"/>
                <w:tab w:val="left" w:pos="-720"/>
                <w:tab w:val="left" w:pos="5040"/>
                <w:tab w:val="left" w:pos="7470"/>
              </w:tabs>
              <w:suppressAutoHyphens/>
              <w:jc w:val="right"/>
              <w:rPr>
                <w:caps/>
              </w:rPr>
            </w:pPr>
            <w:r w:rsidRPr="0040417D">
              <w:t xml:space="preserve">Facility ID No. </w:t>
            </w:r>
            <w:r w:rsidRPr="0040417D">
              <w:rPr>
                <w:bCs/>
              </w:rPr>
              <w:t>0850001</w:t>
            </w:r>
          </w:p>
          <w:p w14:paraId="1C37A9A6" w14:textId="256A7999" w:rsidR="007039AC" w:rsidRPr="007039AC" w:rsidRDefault="007039AC" w:rsidP="007039AC">
            <w:pPr>
              <w:tabs>
                <w:tab w:val="left" w:pos="-1440"/>
                <w:tab w:val="left" w:pos="-720"/>
                <w:tab w:val="left" w:pos="5040"/>
                <w:tab w:val="left" w:pos="7470"/>
              </w:tabs>
              <w:suppressAutoHyphens/>
              <w:jc w:val="right"/>
              <w:rPr>
                <w:caps/>
              </w:rPr>
            </w:pPr>
            <w:r w:rsidRPr="0040417D">
              <w:t>Title V Air Operation Permit Renewal</w:t>
            </w:r>
          </w:p>
        </w:tc>
      </w:tr>
    </w:tbl>
    <w:p w14:paraId="32E43944" w14:textId="319A4C8C" w:rsidR="00AE52ED" w:rsidRPr="0040417D" w:rsidRDefault="00AE52ED" w:rsidP="007039AC">
      <w:pPr>
        <w:spacing w:before="120" w:after="120"/>
        <w:rPr>
          <w:sz w:val="24"/>
          <w:szCs w:val="24"/>
        </w:rPr>
      </w:pPr>
      <w:r w:rsidRPr="0040417D">
        <w:rPr>
          <w:szCs w:val="22"/>
        </w:rPr>
        <w:t xml:space="preserve">The purpose of this permit is to renew the Title V </w:t>
      </w:r>
      <w:r w:rsidR="002F1344" w:rsidRPr="0040417D">
        <w:rPr>
          <w:szCs w:val="22"/>
        </w:rPr>
        <w:t>a</w:t>
      </w:r>
      <w:r w:rsidRPr="0040417D">
        <w:rPr>
          <w:szCs w:val="22"/>
        </w:rPr>
        <w:t xml:space="preserve">ir </w:t>
      </w:r>
      <w:r w:rsidR="002F1344" w:rsidRPr="0040417D">
        <w:rPr>
          <w:szCs w:val="22"/>
        </w:rPr>
        <w:t>o</w:t>
      </w:r>
      <w:r w:rsidRPr="0040417D">
        <w:rPr>
          <w:szCs w:val="22"/>
        </w:rPr>
        <w:t xml:space="preserve">peration </w:t>
      </w:r>
      <w:r w:rsidR="002F1344" w:rsidRPr="0040417D">
        <w:rPr>
          <w:szCs w:val="22"/>
        </w:rPr>
        <w:t>p</w:t>
      </w:r>
      <w:r w:rsidRPr="0040417D">
        <w:rPr>
          <w:szCs w:val="22"/>
        </w:rPr>
        <w:t>ermit</w:t>
      </w:r>
      <w:r w:rsidR="00CB0DAA" w:rsidRPr="0040417D">
        <w:rPr>
          <w:szCs w:val="22"/>
        </w:rPr>
        <w:t xml:space="preserve"> for the above referenced facility</w:t>
      </w:r>
      <w:r w:rsidRPr="0040417D">
        <w:rPr>
          <w:szCs w:val="22"/>
        </w:rPr>
        <w:t>.</w:t>
      </w:r>
      <w:r w:rsidR="008820F3" w:rsidRPr="0040417D">
        <w:rPr>
          <w:szCs w:val="22"/>
        </w:rPr>
        <w:t xml:space="preserve">  </w:t>
      </w:r>
      <w:r w:rsidR="008459E4" w:rsidRPr="0040417D">
        <w:t xml:space="preserve">The existing </w:t>
      </w:r>
      <w:r w:rsidR="0040417D" w:rsidRPr="0040417D">
        <w:t>Martin Power Plant</w:t>
      </w:r>
      <w:r w:rsidR="008459E4" w:rsidRPr="0040417D">
        <w:t xml:space="preserve"> </w:t>
      </w:r>
      <w:r w:rsidR="007039AC" w:rsidRPr="0040417D">
        <w:t>is in</w:t>
      </w:r>
      <w:r w:rsidR="00D86BF0" w:rsidRPr="0040417D">
        <w:t xml:space="preserve"> </w:t>
      </w:r>
      <w:r w:rsidR="0040417D" w:rsidRPr="0040417D">
        <w:t>Martin</w:t>
      </w:r>
      <w:r w:rsidR="00D86BF0" w:rsidRPr="0040417D">
        <w:t xml:space="preserve"> County </w:t>
      </w:r>
      <w:r w:rsidR="008459E4" w:rsidRPr="0040417D">
        <w:t xml:space="preserve">at </w:t>
      </w:r>
      <w:r w:rsidR="0040417D" w:rsidRPr="0040417D">
        <w:t>21900 SW Warfield Blvd</w:t>
      </w:r>
      <w:r w:rsidR="00D86BF0" w:rsidRPr="0040417D">
        <w:t xml:space="preserve">, </w:t>
      </w:r>
      <w:r w:rsidR="0040417D" w:rsidRPr="0040417D">
        <w:t>Indiantown</w:t>
      </w:r>
      <w:r w:rsidR="008459E4" w:rsidRPr="0040417D">
        <w:t>.  UTM Coordinates are:  Zone 17,</w:t>
      </w:r>
      <w:r w:rsidR="00A13BBF" w:rsidRPr="0040417D">
        <w:t xml:space="preserve"> </w:t>
      </w:r>
      <w:r w:rsidR="0040417D" w:rsidRPr="0040417D">
        <w:t>543.22 km East and 2992.85 km North</w:t>
      </w:r>
      <w:r w:rsidR="008459E4" w:rsidRPr="0040417D">
        <w:t xml:space="preserve">.  Latitude is:  </w:t>
      </w:r>
      <w:r w:rsidR="0040417D" w:rsidRPr="0040417D">
        <w:t>27⁰3’26.1847”</w:t>
      </w:r>
      <w:r w:rsidR="008459E4" w:rsidRPr="0040417D">
        <w:t xml:space="preserve"> North; and, Longitude is:  </w:t>
      </w:r>
      <w:r w:rsidR="0040417D" w:rsidRPr="0040417D">
        <w:t>80⁰33’50.8724”</w:t>
      </w:r>
      <w:r w:rsidR="008459E4" w:rsidRPr="0040417D">
        <w:t xml:space="preserve"> West.</w:t>
      </w:r>
    </w:p>
    <w:p w14:paraId="7875C469" w14:textId="77777777" w:rsidR="00AE52ED" w:rsidRDefault="00AE52ED" w:rsidP="002D1C5F">
      <w:pPr>
        <w:pStyle w:val="BodyText2"/>
        <w:spacing w:line="240" w:lineRule="auto"/>
      </w:pPr>
      <w:r w:rsidRPr="0040417D">
        <w:t>The Title V air operation permit is issued under the provisions of Chapter 403, Florida Statutes (F.S.), and Florida Administrative Code (F.A.C.) Chapters 62-4, 62-210, 62-213 and 62-214.  The above named permittee is hereby authorized to operate the facility in accordance with the terms and conditions of this permit.</w:t>
      </w:r>
    </w:p>
    <w:p w14:paraId="58FCE0C3" w14:textId="77777777" w:rsidR="00AE52ED" w:rsidRDefault="006144AF" w:rsidP="006144AF">
      <w:pPr>
        <w:tabs>
          <w:tab w:val="left" w:pos="-144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uppressAutoHyphens/>
        <w:spacing w:after="120"/>
        <w:rPr>
          <w:szCs w:val="22"/>
        </w:rPr>
      </w:pPr>
      <w:r>
        <w:rPr>
          <w:szCs w:val="22"/>
        </w:rPr>
        <w:t>Executed in Tallahassee, Florida.</w:t>
      </w:r>
    </w:p>
    <w:p w14:paraId="784772FA" w14:textId="7C7E7D7A" w:rsidR="00AE52ED" w:rsidRPr="00C01B12" w:rsidRDefault="0084097B" w:rsidP="006144AF">
      <w:pPr>
        <w:tabs>
          <w:tab w:val="left" w:pos="-144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uppressAutoHyphens/>
        <w:rPr>
          <w:szCs w:val="22"/>
          <w:highlight w:val="yellow"/>
        </w:rPr>
      </w:pPr>
      <w:r w:rsidRPr="0084097B">
        <w:rPr>
          <w:szCs w:val="22"/>
        </w:rPr>
        <w:t>0850001</w:t>
      </w:r>
      <w:r w:rsidR="002F1344" w:rsidRPr="0084097B">
        <w:rPr>
          <w:szCs w:val="22"/>
        </w:rPr>
        <w:t>-</w:t>
      </w:r>
      <w:r w:rsidRPr="0084097B">
        <w:rPr>
          <w:szCs w:val="22"/>
        </w:rPr>
        <w:t>042</w:t>
      </w:r>
      <w:r w:rsidR="002F1344" w:rsidRPr="0084097B">
        <w:rPr>
          <w:szCs w:val="22"/>
        </w:rPr>
        <w:t>-</w:t>
      </w:r>
      <w:r w:rsidR="002F1344">
        <w:rPr>
          <w:szCs w:val="22"/>
        </w:rPr>
        <w:t xml:space="preserve">AV </w:t>
      </w:r>
      <w:r w:rsidR="00AE52ED" w:rsidRPr="00BC4CC4">
        <w:rPr>
          <w:szCs w:val="22"/>
        </w:rPr>
        <w:t xml:space="preserve">Effective Date:  </w:t>
      </w:r>
      <w:r w:rsidR="00585225" w:rsidRPr="00585225">
        <w:t>November 5, 2018</w:t>
      </w:r>
    </w:p>
    <w:p w14:paraId="3483B534" w14:textId="108656BD" w:rsidR="00AE52ED" w:rsidRPr="00164C27" w:rsidRDefault="00AE52ED" w:rsidP="006144AF">
      <w:pPr>
        <w:tabs>
          <w:tab w:val="left" w:pos="-144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uppressAutoHyphens/>
        <w:rPr>
          <w:szCs w:val="22"/>
        </w:rPr>
      </w:pPr>
      <w:r w:rsidRPr="00164C27">
        <w:rPr>
          <w:szCs w:val="22"/>
        </w:rPr>
        <w:t xml:space="preserve">Renewal Application Due Date:  </w:t>
      </w:r>
      <w:r w:rsidR="00585225">
        <w:rPr>
          <w:szCs w:val="22"/>
        </w:rPr>
        <w:t>March 25, 2023</w:t>
      </w:r>
    </w:p>
    <w:p w14:paraId="3BCB698D" w14:textId="020BF215" w:rsidR="00AE52ED" w:rsidRPr="00B7362C" w:rsidRDefault="00AE52ED" w:rsidP="006144AF">
      <w:pPr>
        <w:rPr>
          <w:szCs w:val="22"/>
        </w:rPr>
      </w:pPr>
      <w:r w:rsidRPr="00164C27">
        <w:rPr>
          <w:szCs w:val="22"/>
        </w:rPr>
        <w:t xml:space="preserve">Expiration Date:  </w:t>
      </w:r>
      <w:r w:rsidR="00585225">
        <w:rPr>
          <w:szCs w:val="22"/>
        </w:rPr>
        <w:t>November 5, 2023</w:t>
      </w:r>
    </w:p>
    <w:p w14:paraId="059D2204" w14:textId="77777777" w:rsidR="00AE52ED" w:rsidRDefault="00AE52ED" w:rsidP="006144AF">
      <w:pPr>
        <w:pStyle w:val="Style0"/>
        <w:rPr>
          <w:rFonts w:ascii="Times New Roman" w:hAnsi="Times New Roman"/>
          <w:sz w:val="22"/>
          <w:szCs w:val="22"/>
        </w:rPr>
      </w:pPr>
    </w:p>
    <w:p w14:paraId="782E941E" w14:textId="77777777" w:rsidR="002F1344" w:rsidRPr="00B7362C" w:rsidRDefault="002F1344" w:rsidP="006144AF">
      <w:pPr>
        <w:pStyle w:val="Style0"/>
        <w:rPr>
          <w:rFonts w:ascii="Times New Roman" w:hAnsi="Times New Roman"/>
          <w:sz w:val="22"/>
          <w:szCs w:val="22"/>
        </w:rPr>
      </w:pPr>
    </w:p>
    <w:p w14:paraId="2DF54A98" w14:textId="5FA6004F" w:rsidR="00AE52ED" w:rsidRPr="00603823" w:rsidRDefault="00AE52ED" w:rsidP="006144AF">
      <w:pPr>
        <w:tabs>
          <w:tab w:val="left" w:pos="6840"/>
        </w:tabs>
        <w:rPr>
          <w:szCs w:val="22"/>
        </w:rPr>
      </w:pPr>
    </w:p>
    <w:p w14:paraId="363B8143" w14:textId="0F685A98" w:rsidR="00B118BD" w:rsidRDefault="00B118BD" w:rsidP="006144AF">
      <w:pPr>
        <w:widowControl w:val="0"/>
        <w:tabs>
          <w:tab w:val="left" w:pos="7200"/>
          <w:tab w:val="left" w:pos="8910"/>
          <w:tab w:val="left" w:pos="9360"/>
        </w:tabs>
        <w:rPr>
          <w:i/>
          <w:szCs w:val="22"/>
        </w:rPr>
      </w:pPr>
    </w:p>
    <w:p w14:paraId="3168292D" w14:textId="77777777" w:rsidR="007039AC" w:rsidRDefault="007039AC" w:rsidP="006144AF">
      <w:pPr>
        <w:widowControl w:val="0"/>
        <w:tabs>
          <w:tab w:val="left" w:pos="7200"/>
          <w:tab w:val="left" w:pos="8910"/>
          <w:tab w:val="left" w:pos="9360"/>
        </w:tabs>
        <w:rPr>
          <w:i/>
          <w:szCs w:val="22"/>
        </w:rPr>
      </w:pPr>
    </w:p>
    <w:p w14:paraId="23DAAB3A" w14:textId="77777777" w:rsidR="006144AF" w:rsidRDefault="006144AF" w:rsidP="007039AC">
      <w:pPr>
        <w:widowControl w:val="0"/>
        <w:tabs>
          <w:tab w:val="left" w:pos="7200"/>
          <w:tab w:val="left" w:pos="8910"/>
          <w:tab w:val="left" w:pos="9360"/>
        </w:tabs>
        <w:rPr>
          <w:i/>
          <w:szCs w:val="22"/>
        </w:rPr>
      </w:pPr>
      <w:r w:rsidRPr="005B531C">
        <w:rPr>
          <w:i/>
          <w:szCs w:val="22"/>
        </w:rPr>
        <w:t>F</w:t>
      </w:r>
      <w:r w:rsidR="00B118BD" w:rsidRPr="005B531C">
        <w:rPr>
          <w:i/>
          <w:szCs w:val="22"/>
        </w:rPr>
        <w:t>or</w:t>
      </w:r>
      <w:r>
        <w:rPr>
          <w:i/>
          <w:szCs w:val="22"/>
        </w:rPr>
        <w:t>:</w:t>
      </w:r>
    </w:p>
    <w:p w14:paraId="16E79947" w14:textId="77777777" w:rsidR="00B118BD" w:rsidRDefault="006144AF" w:rsidP="007039AC">
      <w:pPr>
        <w:widowControl w:val="0"/>
        <w:tabs>
          <w:tab w:val="left" w:pos="7200"/>
          <w:tab w:val="left" w:pos="8910"/>
          <w:tab w:val="left" w:pos="9360"/>
        </w:tabs>
        <w:ind w:right="6390"/>
        <w:rPr>
          <w:szCs w:val="22"/>
        </w:rPr>
      </w:pPr>
      <w:r>
        <w:rPr>
          <w:szCs w:val="22"/>
        </w:rPr>
        <w:t>Syed Arif, P.E., Program Administrator</w:t>
      </w:r>
    </w:p>
    <w:p w14:paraId="4DEFFE07" w14:textId="77777777" w:rsidR="006144AF" w:rsidRPr="009B54ED" w:rsidRDefault="006144AF" w:rsidP="006144AF">
      <w:pPr>
        <w:widowControl w:val="0"/>
        <w:tabs>
          <w:tab w:val="left" w:pos="7200"/>
          <w:tab w:val="left" w:pos="8910"/>
          <w:tab w:val="left" w:pos="9360"/>
        </w:tabs>
        <w:rPr>
          <w:szCs w:val="22"/>
        </w:rPr>
      </w:pPr>
      <w:r>
        <w:rPr>
          <w:szCs w:val="22"/>
        </w:rPr>
        <w:t>Office of Permitting and Compliance</w:t>
      </w:r>
    </w:p>
    <w:p w14:paraId="0AF12617" w14:textId="77777777" w:rsidR="00B118BD" w:rsidRPr="00885F02" w:rsidRDefault="00B118BD" w:rsidP="006144AF">
      <w:pPr>
        <w:tabs>
          <w:tab w:val="left" w:pos="3600"/>
        </w:tabs>
        <w:jc w:val="both"/>
        <w:rPr>
          <w:szCs w:val="22"/>
        </w:rPr>
      </w:pPr>
      <w:r w:rsidRPr="00885F02">
        <w:rPr>
          <w:szCs w:val="22"/>
        </w:rPr>
        <w:t>Division of Air Resource Management</w:t>
      </w:r>
    </w:p>
    <w:p w14:paraId="604F0823" w14:textId="77777777" w:rsidR="00AE52ED" w:rsidRDefault="00AE52ED" w:rsidP="00AE52ED">
      <w:pPr>
        <w:jc w:val="both"/>
        <w:rPr>
          <w:szCs w:val="22"/>
        </w:rPr>
      </w:pPr>
    </w:p>
    <w:p w14:paraId="52F80101" w14:textId="635E9E3C" w:rsidR="00B118BD" w:rsidRPr="0080460A" w:rsidRDefault="006144AF" w:rsidP="00B118BD">
      <w:pPr>
        <w:keepNext/>
        <w:rPr>
          <w:szCs w:val="22"/>
        </w:rPr>
      </w:pPr>
      <w:r>
        <w:rPr>
          <w:szCs w:val="22"/>
        </w:rPr>
        <w:t>SA/</w:t>
      </w:r>
      <w:proofErr w:type="spellStart"/>
      <w:r>
        <w:rPr>
          <w:szCs w:val="22"/>
        </w:rPr>
        <w:t>dlr</w:t>
      </w:r>
      <w:proofErr w:type="spellEnd"/>
      <w:r w:rsidR="00B118BD">
        <w:rPr>
          <w:szCs w:val="22"/>
        </w:rPr>
        <w:t>/</w:t>
      </w:r>
      <w:proofErr w:type="spellStart"/>
      <w:r w:rsidR="00D47FDC">
        <w:rPr>
          <w:szCs w:val="22"/>
        </w:rPr>
        <w:t>srl</w:t>
      </w:r>
      <w:proofErr w:type="spellEnd"/>
    </w:p>
    <w:p w14:paraId="0F4B587C" w14:textId="77777777" w:rsidR="00AE52ED" w:rsidRDefault="00AE52ED" w:rsidP="00AE52ED">
      <w:pPr>
        <w:jc w:val="both"/>
        <w:rPr>
          <w:szCs w:val="22"/>
        </w:rPr>
        <w:sectPr w:rsidR="00AE52ED" w:rsidSect="00F51343">
          <w:headerReference w:type="even" r:id="rId18"/>
          <w:headerReference w:type="default" r:id="rId19"/>
          <w:footerReference w:type="default" r:id="rId20"/>
          <w:headerReference w:type="first" r:id="rId21"/>
          <w:pgSz w:w="12240" w:h="15840" w:code="1"/>
          <w:pgMar w:top="1140" w:right="1080" w:bottom="720" w:left="1080" w:header="720" w:footer="720" w:gutter="0"/>
          <w:paperSrc w:first="15" w:other="15"/>
          <w:pgNumType w:start="1"/>
          <w:cols w:space="720"/>
        </w:sectPr>
      </w:pPr>
    </w:p>
    <w:p w14:paraId="588E4DB5" w14:textId="77777777" w:rsidR="00C01B12" w:rsidRPr="001E5E57" w:rsidRDefault="00A9193B" w:rsidP="001E5E57">
      <w:pPr>
        <w:spacing w:after="120"/>
        <w:rPr>
          <w:smallCaps/>
          <w:szCs w:val="22"/>
        </w:rPr>
      </w:pPr>
      <w:r w:rsidRPr="00A9193B">
        <w:rPr>
          <w:b/>
          <w:szCs w:val="22"/>
          <w:u w:val="single"/>
        </w:rPr>
        <w:t>Subsection A.  Facility Description</w:t>
      </w:r>
      <w:bookmarkStart w:id="4" w:name="SectionIA"/>
      <w:bookmarkEnd w:id="4"/>
      <w:r w:rsidR="001E5E57" w:rsidRPr="001E5E57">
        <w:rPr>
          <w:b/>
          <w:smallCaps/>
          <w:szCs w:val="22"/>
        </w:rPr>
        <w:t>.</w:t>
      </w:r>
    </w:p>
    <w:p w14:paraId="3296994B" w14:textId="77777777" w:rsidR="00D47FDC" w:rsidRPr="00C16FF6" w:rsidRDefault="00D47FDC" w:rsidP="00D47FDC">
      <w:pPr>
        <w:spacing w:before="120" w:after="120"/>
        <w:rPr>
          <w:szCs w:val="22"/>
        </w:rPr>
      </w:pPr>
      <w:r w:rsidRPr="00C16FF6">
        <w:rPr>
          <w:szCs w:val="22"/>
        </w:rPr>
        <w:t>FPL operates the existing Martin Power Plant, which is an electric utility.  This existing facility consists of two oil and natural gas fired conventional fossil fuel steam electric generating stations (Units 1 and 2), two oil and natural gas fired (Units 3 and 4) co</w:t>
      </w:r>
      <w:r w:rsidRPr="00C16FF6">
        <w:rPr>
          <w:iCs/>
          <w:szCs w:val="22"/>
        </w:rPr>
        <w:t>mbined cycle combustion turbine (CT) systems</w:t>
      </w:r>
      <w:r w:rsidRPr="00C16FF6">
        <w:rPr>
          <w:szCs w:val="22"/>
        </w:rPr>
        <w:t>, four oil and natural gas fired combined cycle CT’s (Unit 8), and associated support equipment</w:t>
      </w:r>
      <w:r>
        <w:rPr>
          <w:szCs w:val="22"/>
        </w:rPr>
        <w:t>.</w:t>
      </w:r>
    </w:p>
    <w:p w14:paraId="56839B26" w14:textId="77777777" w:rsidR="00D47FDC" w:rsidRPr="00C16FF6" w:rsidRDefault="00D47FDC" w:rsidP="00D47FDC">
      <w:pPr>
        <w:spacing w:before="120" w:after="120"/>
        <w:rPr>
          <w:szCs w:val="22"/>
        </w:rPr>
      </w:pPr>
      <w:r w:rsidRPr="00C16FF6">
        <w:rPr>
          <w:b/>
          <w:szCs w:val="22"/>
        </w:rPr>
        <w:t>Emissions Units 001 and 002:</w:t>
      </w:r>
      <w:r w:rsidRPr="00C16FF6">
        <w:rPr>
          <w:szCs w:val="22"/>
        </w:rPr>
        <w:t xml:space="preserve">  Two oil and natural gas fired conventional fossil fuel steam electric generating stations (Units 1 and 2); the maximum capacity of each steam turbine driven electrical generator is 863.3 megawatts (MW).  </w:t>
      </w:r>
      <w:r w:rsidRPr="00DD7EF4">
        <w:rPr>
          <w:szCs w:val="22"/>
        </w:rPr>
        <w:t>The two units may also be regulated as oil fired units under 40 CFR 63, Subpart UUUUU, National Emission Standards for Hazardous Air Pollutants: Coal-and Oil-Fired Electric Utility Steam Generating Units, i.e., Mercury and Air Toxics Standards (MATS) Rule.  The MATS Rule is only applicable at this time to “coal” and “oil” - fired electric utility steam generating units (EGU’s).  FPL may choose to qualify these units as “natural gas-fired electric steam generating units” under the MATS Rule</w:t>
      </w:r>
      <w:r w:rsidRPr="00DD7EF4">
        <w:rPr>
          <w:iCs/>
          <w:szCs w:val="22"/>
        </w:rPr>
        <w:t>.</w:t>
      </w:r>
    </w:p>
    <w:p w14:paraId="11E3F6E5" w14:textId="77777777" w:rsidR="00D47FDC" w:rsidRPr="00C16FF6" w:rsidRDefault="00D47FDC" w:rsidP="00D47FDC">
      <w:pPr>
        <w:spacing w:before="120" w:after="120"/>
        <w:rPr>
          <w:szCs w:val="22"/>
        </w:rPr>
      </w:pPr>
      <w:r w:rsidRPr="00C16FF6">
        <w:rPr>
          <w:b/>
          <w:szCs w:val="22"/>
        </w:rPr>
        <w:t xml:space="preserve">Emissions Units 003 </w:t>
      </w:r>
      <w:r w:rsidRPr="005B08F8">
        <w:rPr>
          <w:b/>
          <w:szCs w:val="22"/>
        </w:rPr>
        <w:t>-</w:t>
      </w:r>
      <w:r w:rsidRPr="00C16FF6">
        <w:rPr>
          <w:b/>
          <w:szCs w:val="22"/>
        </w:rPr>
        <w:t xml:space="preserve"> 006:</w:t>
      </w:r>
      <w:r w:rsidRPr="00C16FF6">
        <w:rPr>
          <w:szCs w:val="22"/>
        </w:rPr>
        <w:t xml:space="preserve">  Two oil and natural gas fired co</w:t>
      </w:r>
      <w:r w:rsidRPr="00C16FF6">
        <w:rPr>
          <w:iCs/>
          <w:szCs w:val="22"/>
        </w:rPr>
        <w:t>mbined cycle combustion turbine systems</w:t>
      </w:r>
      <w:r w:rsidRPr="00C16FF6">
        <w:rPr>
          <w:szCs w:val="22"/>
        </w:rPr>
        <w:t xml:space="preserve"> (two “2-on-1” sets) (Units 3 and 4),</w:t>
      </w:r>
      <w:r w:rsidRPr="00C16FF6">
        <w:rPr>
          <w:iCs/>
          <w:szCs w:val="22"/>
        </w:rPr>
        <w:t xml:space="preserve"> </w:t>
      </w:r>
      <w:r w:rsidRPr="00C16FF6">
        <w:rPr>
          <w:szCs w:val="22"/>
        </w:rPr>
        <w:t>each gas turbine is nominally rated at 170 MW, with a matched unfired heat recovery steam generator (HRSG).  Each pair of the gas turbines (3A/3B and 4A/4B) shares a common steam turbine driven electrical generator rated at 160 MW each.  The total generating capacity of each 2-on-1 turbine s</w:t>
      </w:r>
      <w:r>
        <w:rPr>
          <w:szCs w:val="22"/>
        </w:rPr>
        <w:t>ystem is approximately 500 MW.</w:t>
      </w:r>
    </w:p>
    <w:p w14:paraId="71836CDB" w14:textId="3F5891FF" w:rsidR="00D47FDC" w:rsidRPr="00603823" w:rsidRDefault="00D47FDC" w:rsidP="00D47FDC">
      <w:pPr>
        <w:spacing w:before="120" w:after="120"/>
        <w:rPr>
          <w:szCs w:val="22"/>
        </w:rPr>
      </w:pPr>
      <w:bookmarkStart w:id="5" w:name="_Hlk519690188"/>
      <w:r w:rsidRPr="00C16FF6">
        <w:rPr>
          <w:b/>
          <w:szCs w:val="22"/>
        </w:rPr>
        <w:t>Emissions Units 011, 012, 017 and 018:</w:t>
      </w:r>
      <w:r w:rsidRPr="00C16FF6">
        <w:rPr>
          <w:szCs w:val="22"/>
        </w:rPr>
        <w:t xml:space="preserve">  Collectively regulated as Unit 8, this unit is a “4-on-1” combined cycle system which consists of four oil and natural gas fired combustion turbine/HRSG systems with a single steam </w:t>
      </w:r>
      <w:r w:rsidRPr="00603823">
        <w:rPr>
          <w:szCs w:val="22"/>
        </w:rPr>
        <w:t xml:space="preserve">turbine electrical generator.  Each of the four gas </w:t>
      </w:r>
      <w:r w:rsidRPr="00603823">
        <w:rPr>
          <w:iCs/>
          <w:szCs w:val="22"/>
        </w:rPr>
        <w:t>combustion</w:t>
      </w:r>
      <w:r w:rsidRPr="00603823">
        <w:rPr>
          <w:szCs w:val="22"/>
        </w:rPr>
        <w:t xml:space="preserve"> turbines (8A, 8B, 8C and 8D) is nominally rated at </w:t>
      </w:r>
      <w:r w:rsidR="00B52F35" w:rsidRPr="00603823">
        <w:rPr>
          <w:szCs w:val="22"/>
        </w:rPr>
        <w:t>207.6</w:t>
      </w:r>
      <w:r w:rsidRPr="00603823">
        <w:rPr>
          <w:szCs w:val="22"/>
        </w:rPr>
        <w:t xml:space="preserve"> MW, with a matched 495 million British thermal units per hour (MMBtu/hr) gas-fired HRSG, and a single 470 MW steam turbine driven electrical generator that serves all four CT/HRSG systems, and associated support equipment.  Nitrogen oxides (NO</w:t>
      </w:r>
      <w:r w:rsidRPr="00603823">
        <w:rPr>
          <w:szCs w:val="22"/>
          <w:vertAlign w:val="subscript"/>
        </w:rPr>
        <w:t>X</w:t>
      </w:r>
      <w:r w:rsidRPr="00603823">
        <w:rPr>
          <w:szCs w:val="22"/>
        </w:rPr>
        <w:t>) emissions are controlled by using Dry Low NO</w:t>
      </w:r>
      <w:r w:rsidRPr="00603823">
        <w:rPr>
          <w:szCs w:val="22"/>
          <w:vertAlign w:val="subscript"/>
        </w:rPr>
        <w:t>X</w:t>
      </w:r>
      <w:r w:rsidRPr="00603823">
        <w:rPr>
          <w:szCs w:val="22"/>
        </w:rPr>
        <w:t xml:space="preserve"> (DLN) combustors for natural gas and steam injection for fuel oil firing.  A selective catalytic reduction (SCR) system, in combination with the other NO</w:t>
      </w:r>
      <w:r w:rsidRPr="00603823">
        <w:rPr>
          <w:szCs w:val="22"/>
          <w:vertAlign w:val="subscript"/>
        </w:rPr>
        <w:t>X</w:t>
      </w:r>
      <w:r w:rsidRPr="00603823">
        <w:rPr>
          <w:szCs w:val="22"/>
        </w:rPr>
        <w:t xml:space="preserve"> controls, further reduces NO</w:t>
      </w:r>
      <w:r w:rsidRPr="00603823">
        <w:rPr>
          <w:szCs w:val="22"/>
          <w:vertAlign w:val="subscript"/>
        </w:rPr>
        <w:t>X</w:t>
      </w:r>
      <w:r w:rsidRPr="00603823">
        <w:rPr>
          <w:szCs w:val="22"/>
        </w:rPr>
        <w:t xml:space="preserve"> emissions during combined cycle operation.  The total generating capacity of this combined cycle combustion turbine system is approximately</w:t>
      </w:r>
      <w:r w:rsidR="00CD0897" w:rsidRPr="00603823">
        <w:rPr>
          <w:szCs w:val="22"/>
        </w:rPr>
        <w:t xml:space="preserve"> </w:t>
      </w:r>
      <w:r w:rsidRPr="00603823">
        <w:rPr>
          <w:szCs w:val="22"/>
        </w:rPr>
        <w:t>1,</w:t>
      </w:r>
      <w:r w:rsidR="00B52F35" w:rsidRPr="00603823">
        <w:rPr>
          <w:szCs w:val="22"/>
        </w:rPr>
        <w:t>300.4</w:t>
      </w:r>
      <w:r w:rsidRPr="00603823">
        <w:rPr>
          <w:szCs w:val="22"/>
        </w:rPr>
        <w:t xml:space="preserve"> MW.  </w:t>
      </w:r>
      <w:bookmarkStart w:id="6" w:name="_Hlk519675594"/>
      <w:r w:rsidRPr="00603823">
        <w:rPr>
          <w:szCs w:val="22"/>
        </w:rPr>
        <w:t>There is also a solar thermal facility on-site that produces steam, which is used to augment the steam produced by the Unit 8 HRSGs, thus reducing fossil fuel use in the duct burners when adequate sunlight is available.</w:t>
      </w:r>
      <w:bookmarkEnd w:id="5"/>
      <w:bookmarkEnd w:id="6"/>
    </w:p>
    <w:p w14:paraId="59F3FA34" w14:textId="77777777" w:rsidR="00D47FDC" w:rsidRPr="0083300F" w:rsidRDefault="00D47FDC" w:rsidP="00D47FDC">
      <w:pPr>
        <w:spacing w:before="120" w:after="120"/>
        <w:rPr>
          <w:szCs w:val="22"/>
        </w:rPr>
      </w:pPr>
      <w:r w:rsidRPr="0083300F">
        <w:rPr>
          <w:b/>
          <w:szCs w:val="22"/>
        </w:rPr>
        <w:t>Emissions Unit 026:</w:t>
      </w:r>
      <w:r w:rsidRPr="0083300F">
        <w:rPr>
          <w:szCs w:val="22"/>
        </w:rPr>
        <w:t xml:space="preserve">  The unit is a natural gas fired auxiliary steam boiler with a maximum heat input of 13.26 MMBtu/hr.  This boiler produces steam to actuate the steam seals on the steam turbine components of Units 3 and 4 during cold starts when steam is, otherwise, not available for this purpose.</w:t>
      </w:r>
    </w:p>
    <w:p w14:paraId="7FD28569" w14:textId="4052E68A" w:rsidR="00D47FDC" w:rsidRPr="00603823" w:rsidRDefault="00D47FDC" w:rsidP="00D47FDC">
      <w:pPr>
        <w:spacing w:after="120"/>
        <w:rPr>
          <w:i/>
          <w:szCs w:val="22"/>
        </w:rPr>
      </w:pPr>
      <w:bookmarkStart w:id="7" w:name="_Hlk520704312"/>
      <w:r w:rsidRPr="00603823">
        <w:rPr>
          <w:szCs w:val="22"/>
        </w:rPr>
        <w:t xml:space="preserve">This facility also includes emergency generators, four hurricane emergency shelter stationary spark ignition </w:t>
      </w:r>
      <w:r w:rsidR="008750BB" w:rsidRPr="00603823">
        <w:rPr>
          <w:szCs w:val="22"/>
        </w:rPr>
        <w:t xml:space="preserve">(SI) </w:t>
      </w:r>
      <w:r w:rsidRPr="00603823">
        <w:rPr>
          <w:szCs w:val="22"/>
        </w:rPr>
        <w:t>engine driven generators,</w:t>
      </w:r>
      <w:r w:rsidR="008750BB" w:rsidRPr="00603823">
        <w:rPr>
          <w:szCs w:val="22"/>
        </w:rPr>
        <w:t xml:space="preserve"> an emergency fire pump,</w:t>
      </w:r>
      <w:r w:rsidRPr="00603823">
        <w:rPr>
          <w:szCs w:val="22"/>
        </w:rPr>
        <w:t xml:space="preserve"> two storage oil tanks, a mechanical cooling tower, and four electrical fuel line heaters (to heat up the natural gas fuel prior to introduction into the CT, when needed).  Also included in this permit are additional unregulated emissions units identified as facility-wide particulate matter (PM) and volatile organic compounds (VOC) emissions.</w:t>
      </w:r>
      <w:bookmarkEnd w:id="7"/>
    </w:p>
    <w:p w14:paraId="6E4651E7" w14:textId="77777777" w:rsidR="00C01B12" w:rsidRPr="001E5E57" w:rsidRDefault="00C01B12" w:rsidP="00A30956">
      <w:pPr>
        <w:spacing w:after="120"/>
        <w:rPr>
          <w:b/>
          <w:smallCaps/>
          <w:szCs w:val="22"/>
        </w:rPr>
      </w:pPr>
      <w:bookmarkStart w:id="8" w:name="Section1B"/>
      <w:bookmarkEnd w:id="8"/>
      <w:r w:rsidRPr="00A30956">
        <w:rPr>
          <w:b/>
          <w:szCs w:val="22"/>
          <w:u w:val="single"/>
        </w:rPr>
        <w:t>Subsection B.  Summary of Emissions Units</w:t>
      </w:r>
      <w:bookmarkStart w:id="9" w:name="SectionIB"/>
      <w:bookmarkEnd w:id="9"/>
      <w:r w:rsidR="001E5E57" w:rsidRPr="00A30956">
        <w:rPr>
          <w:b/>
          <w:szCs w:val="22"/>
          <w:u w:val="single"/>
        </w:rPr>
        <w:t>.</w:t>
      </w:r>
    </w:p>
    <w:tbl>
      <w:tblPr>
        <w:tblW w:w="9954" w:type="dxa"/>
        <w:tblInd w:w="108" w:type="dxa"/>
        <w:tblBorders>
          <w:top w:val="single" w:sz="12" w:space="0" w:color="auto"/>
          <w:left w:val="single" w:sz="12" w:space="0" w:color="auto"/>
          <w:bottom w:val="single" w:sz="12" w:space="0" w:color="auto"/>
          <w:right w:val="single" w:sz="12" w:space="0" w:color="auto"/>
          <w:insideH w:val="single" w:sz="6" w:space="0" w:color="auto"/>
          <w:insideV w:val="single" w:sz="12" w:space="0" w:color="auto"/>
        </w:tblBorders>
        <w:tblLayout w:type="fixed"/>
        <w:tblCellMar>
          <w:top w:w="43" w:type="dxa"/>
          <w:left w:w="72" w:type="dxa"/>
          <w:bottom w:w="43" w:type="dxa"/>
          <w:right w:w="72" w:type="dxa"/>
        </w:tblCellMar>
        <w:tblLook w:val="0000" w:firstRow="0" w:lastRow="0" w:firstColumn="0" w:lastColumn="0" w:noHBand="0" w:noVBand="0"/>
      </w:tblPr>
      <w:tblGrid>
        <w:gridCol w:w="1016"/>
        <w:gridCol w:w="8938"/>
      </w:tblGrid>
      <w:tr w:rsidR="00C01B12" w14:paraId="52093063" w14:textId="77777777" w:rsidTr="00D47FDC">
        <w:trPr>
          <w:tblHeader/>
        </w:trPr>
        <w:tc>
          <w:tcPr>
            <w:tcW w:w="1016" w:type="dxa"/>
            <w:tcBorders>
              <w:top w:val="single" w:sz="12" w:space="0" w:color="auto"/>
              <w:bottom w:val="single" w:sz="12" w:space="0" w:color="auto"/>
            </w:tcBorders>
          </w:tcPr>
          <w:p w14:paraId="1AC0F70B" w14:textId="77777777" w:rsidR="00C01B12" w:rsidRPr="00EF1A9E" w:rsidRDefault="00C01B12" w:rsidP="00D66F5B">
            <w:pPr>
              <w:jc w:val="center"/>
              <w:rPr>
                <w:b/>
              </w:rPr>
            </w:pPr>
            <w:r w:rsidRPr="00EF1A9E">
              <w:rPr>
                <w:b/>
              </w:rPr>
              <w:t>EU No.</w:t>
            </w:r>
          </w:p>
        </w:tc>
        <w:tc>
          <w:tcPr>
            <w:tcW w:w="8938" w:type="dxa"/>
            <w:tcBorders>
              <w:top w:val="single" w:sz="12" w:space="0" w:color="auto"/>
              <w:bottom w:val="single" w:sz="12" w:space="0" w:color="auto"/>
            </w:tcBorders>
          </w:tcPr>
          <w:p w14:paraId="77D218AA" w14:textId="77777777" w:rsidR="00C01B12" w:rsidRPr="00EF1A9E" w:rsidRDefault="00C01B12" w:rsidP="00D66F5B">
            <w:pPr>
              <w:pStyle w:val="Heading2"/>
              <w:rPr>
                <w:sz w:val="20"/>
                <w:u w:val="none"/>
              </w:rPr>
            </w:pPr>
            <w:r w:rsidRPr="00EF1A9E">
              <w:rPr>
                <w:sz w:val="20"/>
                <w:u w:val="none"/>
              </w:rPr>
              <w:t>Brief Description</w:t>
            </w:r>
          </w:p>
        </w:tc>
      </w:tr>
      <w:tr w:rsidR="00C01B12" w14:paraId="11B87510" w14:textId="77777777" w:rsidTr="00D47FDC">
        <w:trPr>
          <w:tblHeader/>
        </w:trPr>
        <w:tc>
          <w:tcPr>
            <w:tcW w:w="9954" w:type="dxa"/>
            <w:gridSpan w:val="2"/>
            <w:tcBorders>
              <w:top w:val="single" w:sz="12" w:space="0" w:color="auto"/>
            </w:tcBorders>
          </w:tcPr>
          <w:p w14:paraId="45921EE8" w14:textId="77777777" w:rsidR="00C01B12" w:rsidRPr="00EF1A9E" w:rsidRDefault="00C01B12" w:rsidP="00D66F5B">
            <w:pPr>
              <w:rPr>
                <w:i/>
              </w:rPr>
            </w:pPr>
            <w:r w:rsidRPr="00EF1A9E">
              <w:rPr>
                <w:i/>
              </w:rPr>
              <w:t>Regulated Emissions Units</w:t>
            </w:r>
          </w:p>
        </w:tc>
      </w:tr>
      <w:tr w:rsidR="00D47FDC" w14:paraId="18A20F74" w14:textId="77777777" w:rsidTr="00D47FDC">
        <w:tc>
          <w:tcPr>
            <w:tcW w:w="1016" w:type="dxa"/>
          </w:tcPr>
          <w:p w14:paraId="6C6FA4ED" w14:textId="0BCFE175" w:rsidR="00D47FDC" w:rsidRPr="00D47FDC" w:rsidRDefault="00D47FDC" w:rsidP="00D47FDC">
            <w:pPr>
              <w:jc w:val="center"/>
            </w:pPr>
            <w:r w:rsidRPr="00D47FDC">
              <w:t>001</w:t>
            </w:r>
          </w:p>
        </w:tc>
        <w:tc>
          <w:tcPr>
            <w:tcW w:w="8938" w:type="dxa"/>
          </w:tcPr>
          <w:p w14:paraId="12170832" w14:textId="5C254E5D" w:rsidR="00D47FDC" w:rsidRPr="00D47FDC" w:rsidRDefault="00D47FDC" w:rsidP="00D47FDC">
            <w:r w:rsidRPr="00C16FF6">
              <w:rPr>
                <w:szCs w:val="22"/>
              </w:rPr>
              <w:t>Fossil Fuel Fired Steam Generator No. 1</w:t>
            </w:r>
          </w:p>
        </w:tc>
      </w:tr>
      <w:tr w:rsidR="00D47FDC" w14:paraId="683BC941" w14:textId="77777777" w:rsidTr="00D47FDC">
        <w:tc>
          <w:tcPr>
            <w:tcW w:w="1016" w:type="dxa"/>
          </w:tcPr>
          <w:p w14:paraId="19C01BC4" w14:textId="246DE376" w:rsidR="00D47FDC" w:rsidRPr="00D47FDC" w:rsidRDefault="00D47FDC" w:rsidP="00D47FDC">
            <w:pPr>
              <w:jc w:val="center"/>
            </w:pPr>
            <w:r w:rsidRPr="00D47FDC">
              <w:t>002</w:t>
            </w:r>
          </w:p>
        </w:tc>
        <w:tc>
          <w:tcPr>
            <w:tcW w:w="8938" w:type="dxa"/>
          </w:tcPr>
          <w:p w14:paraId="79F5DD68" w14:textId="2DEA39D2" w:rsidR="00D47FDC" w:rsidRPr="00D47FDC" w:rsidRDefault="00D47FDC" w:rsidP="00D47FDC">
            <w:r w:rsidRPr="00C16FF6">
              <w:rPr>
                <w:szCs w:val="22"/>
              </w:rPr>
              <w:t>Fossil Fuel Fired Steam Generator No. 2</w:t>
            </w:r>
          </w:p>
        </w:tc>
      </w:tr>
      <w:tr w:rsidR="00D47FDC" w14:paraId="0701403B" w14:textId="77777777" w:rsidTr="00D47FDC">
        <w:tc>
          <w:tcPr>
            <w:tcW w:w="1016" w:type="dxa"/>
            <w:tcBorders>
              <w:bottom w:val="single" w:sz="6" w:space="0" w:color="auto"/>
            </w:tcBorders>
          </w:tcPr>
          <w:p w14:paraId="1C378BD7" w14:textId="1528F170" w:rsidR="00D47FDC" w:rsidRPr="00D47FDC" w:rsidRDefault="00D47FDC" w:rsidP="00D47FDC">
            <w:pPr>
              <w:jc w:val="center"/>
            </w:pPr>
            <w:r w:rsidRPr="00D47FDC">
              <w:t>003</w:t>
            </w:r>
          </w:p>
        </w:tc>
        <w:tc>
          <w:tcPr>
            <w:tcW w:w="8938" w:type="dxa"/>
            <w:tcBorders>
              <w:bottom w:val="single" w:sz="6" w:space="0" w:color="auto"/>
            </w:tcBorders>
          </w:tcPr>
          <w:p w14:paraId="19FC8183" w14:textId="70710F6A" w:rsidR="00D47FDC" w:rsidRPr="00D47FDC" w:rsidRDefault="00D47FDC" w:rsidP="00D47FDC">
            <w:r>
              <w:rPr>
                <w:szCs w:val="22"/>
              </w:rPr>
              <w:t>CT</w:t>
            </w:r>
            <w:r w:rsidRPr="00C16FF6">
              <w:rPr>
                <w:szCs w:val="22"/>
              </w:rPr>
              <w:t xml:space="preserve"> with </w:t>
            </w:r>
            <w:r>
              <w:rPr>
                <w:szCs w:val="22"/>
              </w:rPr>
              <w:t>HRSG</w:t>
            </w:r>
            <w:r w:rsidRPr="00C16FF6">
              <w:rPr>
                <w:szCs w:val="22"/>
              </w:rPr>
              <w:t xml:space="preserve"> (CT 3A)</w:t>
            </w:r>
          </w:p>
        </w:tc>
      </w:tr>
      <w:tr w:rsidR="00D47FDC" w14:paraId="629B80F3" w14:textId="77777777" w:rsidTr="00D47FDC">
        <w:tc>
          <w:tcPr>
            <w:tcW w:w="1016" w:type="dxa"/>
            <w:tcBorders>
              <w:bottom w:val="single" w:sz="6" w:space="0" w:color="auto"/>
            </w:tcBorders>
          </w:tcPr>
          <w:p w14:paraId="7115059C" w14:textId="4B45273A" w:rsidR="00D47FDC" w:rsidRPr="00D47FDC" w:rsidRDefault="00D47FDC" w:rsidP="00D47FDC">
            <w:pPr>
              <w:jc w:val="center"/>
            </w:pPr>
            <w:r w:rsidRPr="00D47FDC">
              <w:t>004</w:t>
            </w:r>
          </w:p>
        </w:tc>
        <w:tc>
          <w:tcPr>
            <w:tcW w:w="8938" w:type="dxa"/>
            <w:tcBorders>
              <w:bottom w:val="single" w:sz="6" w:space="0" w:color="auto"/>
            </w:tcBorders>
          </w:tcPr>
          <w:p w14:paraId="4E8515A0" w14:textId="7BBBB5EA" w:rsidR="00D47FDC" w:rsidRPr="00D47FDC" w:rsidRDefault="00D47FDC" w:rsidP="00D47FDC">
            <w:r>
              <w:rPr>
                <w:szCs w:val="22"/>
              </w:rPr>
              <w:t>CT</w:t>
            </w:r>
            <w:r w:rsidRPr="00C16FF6">
              <w:rPr>
                <w:szCs w:val="22"/>
              </w:rPr>
              <w:t xml:space="preserve"> with </w:t>
            </w:r>
            <w:r>
              <w:rPr>
                <w:szCs w:val="22"/>
              </w:rPr>
              <w:t>HRSG</w:t>
            </w:r>
            <w:r w:rsidRPr="00C16FF6">
              <w:rPr>
                <w:szCs w:val="22"/>
              </w:rPr>
              <w:t xml:space="preserve"> (CT 3B)</w:t>
            </w:r>
          </w:p>
        </w:tc>
      </w:tr>
      <w:tr w:rsidR="00D47FDC" w14:paraId="41DE9CDF" w14:textId="77777777" w:rsidTr="00753207">
        <w:tc>
          <w:tcPr>
            <w:tcW w:w="1016" w:type="dxa"/>
            <w:tcBorders>
              <w:bottom w:val="single" w:sz="6" w:space="0" w:color="auto"/>
            </w:tcBorders>
          </w:tcPr>
          <w:p w14:paraId="02AEE4B7" w14:textId="089FB28C" w:rsidR="00D47FDC" w:rsidRPr="00D47FDC" w:rsidRDefault="00D47FDC" w:rsidP="00D47FDC">
            <w:pPr>
              <w:jc w:val="center"/>
            </w:pPr>
            <w:r w:rsidRPr="00D47FDC">
              <w:t>005</w:t>
            </w:r>
          </w:p>
        </w:tc>
        <w:tc>
          <w:tcPr>
            <w:tcW w:w="8938" w:type="dxa"/>
            <w:tcBorders>
              <w:bottom w:val="single" w:sz="6" w:space="0" w:color="auto"/>
            </w:tcBorders>
            <w:vAlign w:val="center"/>
          </w:tcPr>
          <w:p w14:paraId="0A88EC51" w14:textId="791DC8DC" w:rsidR="00D47FDC" w:rsidRPr="00D47FDC" w:rsidRDefault="00D47FDC" w:rsidP="00D47FDC">
            <w:r>
              <w:rPr>
                <w:szCs w:val="22"/>
              </w:rPr>
              <w:t>CT</w:t>
            </w:r>
            <w:r w:rsidRPr="00C16FF6">
              <w:rPr>
                <w:szCs w:val="22"/>
              </w:rPr>
              <w:t xml:space="preserve"> with </w:t>
            </w:r>
            <w:r>
              <w:rPr>
                <w:szCs w:val="22"/>
              </w:rPr>
              <w:t>HRSG</w:t>
            </w:r>
            <w:r w:rsidRPr="00C16FF6">
              <w:rPr>
                <w:szCs w:val="22"/>
              </w:rPr>
              <w:t xml:space="preserve"> (CT 4A)</w:t>
            </w:r>
          </w:p>
        </w:tc>
      </w:tr>
      <w:tr w:rsidR="00D47FDC" w14:paraId="51FC5853" w14:textId="77777777" w:rsidTr="00753207">
        <w:tc>
          <w:tcPr>
            <w:tcW w:w="1016" w:type="dxa"/>
            <w:tcBorders>
              <w:bottom w:val="single" w:sz="6" w:space="0" w:color="auto"/>
            </w:tcBorders>
          </w:tcPr>
          <w:p w14:paraId="1434DF63" w14:textId="045E3908" w:rsidR="00D47FDC" w:rsidRPr="00D47FDC" w:rsidRDefault="00D47FDC" w:rsidP="00D47FDC">
            <w:pPr>
              <w:jc w:val="center"/>
            </w:pPr>
            <w:r w:rsidRPr="00D47FDC">
              <w:t>006</w:t>
            </w:r>
          </w:p>
        </w:tc>
        <w:tc>
          <w:tcPr>
            <w:tcW w:w="8938" w:type="dxa"/>
            <w:tcBorders>
              <w:bottom w:val="single" w:sz="6" w:space="0" w:color="auto"/>
            </w:tcBorders>
            <w:vAlign w:val="center"/>
          </w:tcPr>
          <w:p w14:paraId="4B6A8EFD" w14:textId="1D4CF2FB" w:rsidR="00D47FDC" w:rsidRPr="00D47FDC" w:rsidRDefault="00D47FDC" w:rsidP="00D47FDC">
            <w:r>
              <w:rPr>
                <w:szCs w:val="22"/>
              </w:rPr>
              <w:t>CT</w:t>
            </w:r>
            <w:r w:rsidRPr="00C16FF6">
              <w:rPr>
                <w:szCs w:val="22"/>
              </w:rPr>
              <w:t xml:space="preserve"> with </w:t>
            </w:r>
            <w:r>
              <w:rPr>
                <w:szCs w:val="22"/>
              </w:rPr>
              <w:t>HRSG</w:t>
            </w:r>
            <w:r w:rsidRPr="00C16FF6">
              <w:rPr>
                <w:szCs w:val="22"/>
              </w:rPr>
              <w:t xml:space="preserve"> (CT 4B)</w:t>
            </w:r>
          </w:p>
        </w:tc>
      </w:tr>
      <w:tr w:rsidR="00D47FDC" w14:paraId="76CD1487" w14:textId="77777777" w:rsidTr="00753207">
        <w:tc>
          <w:tcPr>
            <w:tcW w:w="1016" w:type="dxa"/>
            <w:tcBorders>
              <w:bottom w:val="single" w:sz="6" w:space="0" w:color="auto"/>
            </w:tcBorders>
          </w:tcPr>
          <w:p w14:paraId="50CF087F" w14:textId="5D849C6F" w:rsidR="00D47FDC" w:rsidRPr="00D47FDC" w:rsidRDefault="00D47FDC" w:rsidP="00D47FDC">
            <w:pPr>
              <w:jc w:val="center"/>
            </w:pPr>
            <w:r w:rsidRPr="00D47FDC">
              <w:t>011</w:t>
            </w:r>
          </w:p>
        </w:tc>
        <w:tc>
          <w:tcPr>
            <w:tcW w:w="8938" w:type="dxa"/>
            <w:tcBorders>
              <w:bottom w:val="single" w:sz="6" w:space="0" w:color="auto"/>
            </w:tcBorders>
            <w:vAlign w:val="center"/>
          </w:tcPr>
          <w:p w14:paraId="3185D870" w14:textId="2D8756A8" w:rsidR="00D47FDC" w:rsidRPr="00D47FDC" w:rsidRDefault="00D47FDC" w:rsidP="00D47FDC">
            <w:r>
              <w:rPr>
                <w:szCs w:val="22"/>
              </w:rPr>
              <w:t>CT</w:t>
            </w:r>
            <w:r w:rsidRPr="00C16FF6">
              <w:rPr>
                <w:szCs w:val="22"/>
              </w:rPr>
              <w:t xml:space="preserve"> with </w:t>
            </w:r>
            <w:r>
              <w:rPr>
                <w:szCs w:val="22"/>
              </w:rPr>
              <w:t>HRSG</w:t>
            </w:r>
            <w:r w:rsidRPr="00C16FF6">
              <w:rPr>
                <w:szCs w:val="22"/>
              </w:rPr>
              <w:t xml:space="preserve"> (CT 8A)</w:t>
            </w:r>
          </w:p>
        </w:tc>
      </w:tr>
      <w:tr w:rsidR="00D47FDC" w14:paraId="0E59E7C3" w14:textId="77777777" w:rsidTr="00753207">
        <w:tc>
          <w:tcPr>
            <w:tcW w:w="1016" w:type="dxa"/>
            <w:tcBorders>
              <w:bottom w:val="single" w:sz="6" w:space="0" w:color="auto"/>
            </w:tcBorders>
          </w:tcPr>
          <w:p w14:paraId="34998910" w14:textId="437234E7" w:rsidR="00D47FDC" w:rsidRPr="00D47FDC" w:rsidRDefault="00D47FDC" w:rsidP="00D47FDC">
            <w:pPr>
              <w:jc w:val="center"/>
            </w:pPr>
            <w:r w:rsidRPr="00D47FDC">
              <w:t>012</w:t>
            </w:r>
          </w:p>
        </w:tc>
        <w:tc>
          <w:tcPr>
            <w:tcW w:w="8938" w:type="dxa"/>
            <w:tcBorders>
              <w:bottom w:val="single" w:sz="6" w:space="0" w:color="auto"/>
            </w:tcBorders>
            <w:vAlign w:val="center"/>
          </w:tcPr>
          <w:p w14:paraId="012BF4C5" w14:textId="08470D2B" w:rsidR="00D47FDC" w:rsidRPr="00D47FDC" w:rsidRDefault="00D47FDC" w:rsidP="00D47FDC">
            <w:r>
              <w:rPr>
                <w:szCs w:val="22"/>
              </w:rPr>
              <w:t>CT</w:t>
            </w:r>
            <w:r w:rsidRPr="00C16FF6">
              <w:rPr>
                <w:szCs w:val="22"/>
              </w:rPr>
              <w:t xml:space="preserve"> with </w:t>
            </w:r>
            <w:r>
              <w:rPr>
                <w:szCs w:val="22"/>
              </w:rPr>
              <w:t>HRSG</w:t>
            </w:r>
            <w:r w:rsidRPr="00C16FF6">
              <w:rPr>
                <w:szCs w:val="22"/>
              </w:rPr>
              <w:t xml:space="preserve"> (CT 8B)</w:t>
            </w:r>
          </w:p>
        </w:tc>
      </w:tr>
      <w:tr w:rsidR="00D47FDC" w14:paraId="600A2DF5" w14:textId="77777777" w:rsidTr="00753207">
        <w:tc>
          <w:tcPr>
            <w:tcW w:w="1016" w:type="dxa"/>
            <w:tcBorders>
              <w:bottom w:val="single" w:sz="6" w:space="0" w:color="auto"/>
            </w:tcBorders>
          </w:tcPr>
          <w:p w14:paraId="2A1CCE2D" w14:textId="1A1416E5" w:rsidR="00D47FDC" w:rsidRPr="00D47FDC" w:rsidRDefault="00D47FDC" w:rsidP="00D47FDC">
            <w:pPr>
              <w:jc w:val="center"/>
            </w:pPr>
            <w:r w:rsidRPr="00D47FDC">
              <w:t>014</w:t>
            </w:r>
          </w:p>
        </w:tc>
        <w:tc>
          <w:tcPr>
            <w:tcW w:w="8938" w:type="dxa"/>
            <w:tcBorders>
              <w:bottom w:val="single" w:sz="6" w:space="0" w:color="auto"/>
            </w:tcBorders>
            <w:vAlign w:val="center"/>
          </w:tcPr>
          <w:p w14:paraId="2E1E6B61" w14:textId="73F999E7" w:rsidR="00D47FDC" w:rsidRPr="00D47FDC" w:rsidRDefault="00D47FDC" w:rsidP="00D47FDC">
            <w:r w:rsidRPr="00C16FF6">
              <w:rPr>
                <w:szCs w:val="22"/>
              </w:rPr>
              <w:t>Two Distillate Oil Storage Tanks for Unit 8 Gas Turbines</w:t>
            </w:r>
          </w:p>
        </w:tc>
      </w:tr>
      <w:tr w:rsidR="00D47FDC" w14:paraId="6AF0979D" w14:textId="77777777" w:rsidTr="00753207">
        <w:tc>
          <w:tcPr>
            <w:tcW w:w="1016" w:type="dxa"/>
            <w:tcBorders>
              <w:bottom w:val="single" w:sz="6" w:space="0" w:color="auto"/>
            </w:tcBorders>
          </w:tcPr>
          <w:p w14:paraId="0191FDAA" w14:textId="1434AE9C" w:rsidR="00D47FDC" w:rsidRPr="00D47FDC" w:rsidRDefault="00D47FDC" w:rsidP="00D47FDC">
            <w:pPr>
              <w:jc w:val="center"/>
            </w:pPr>
            <w:r w:rsidRPr="00D47FDC">
              <w:t>017</w:t>
            </w:r>
          </w:p>
        </w:tc>
        <w:tc>
          <w:tcPr>
            <w:tcW w:w="8938" w:type="dxa"/>
            <w:tcBorders>
              <w:bottom w:val="single" w:sz="6" w:space="0" w:color="auto"/>
            </w:tcBorders>
            <w:vAlign w:val="center"/>
          </w:tcPr>
          <w:p w14:paraId="58BD22E5" w14:textId="25841031" w:rsidR="00D47FDC" w:rsidRPr="00D47FDC" w:rsidRDefault="00CB6B37" w:rsidP="00D47FDC">
            <w:r>
              <w:rPr>
                <w:szCs w:val="22"/>
              </w:rPr>
              <w:t xml:space="preserve">CT </w:t>
            </w:r>
            <w:r w:rsidR="00D47FDC" w:rsidRPr="00C16FF6">
              <w:rPr>
                <w:szCs w:val="22"/>
              </w:rPr>
              <w:t xml:space="preserve">with </w:t>
            </w:r>
            <w:r>
              <w:rPr>
                <w:szCs w:val="22"/>
              </w:rPr>
              <w:t>HRSG</w:t>
            </w:r>
            <w:r w:rsidR="00D47FDC" w:rsidRPr="00C16FF6">
              <w:rPr>
                <w:szCs w:val="22"/>
              </w:rPr>
              <w:t xml:space="preserve"> (CT 8C)</w:t>
            </w:r>
          </w:p>
        </w:tc>
      </w:tr>
      <w:tr w:rsidR="00D47FDC" w14:paraId="746BF02F" w14:textId="77777777" w:rsidTr="00753207">
        <w:tc>
          <w:tcPr>
            <w:tcW w:w="1016" w:type="dxa"/>
            <w:tcBorders>
              <w:bottom w:val="single" w:sz="6" w:space="0" w:color="auto"/>
            </w:tcBorders>
          </w:tcPr>
          <w:p w14:paraId="2AF540F9" w14:textId="67F8AA00" w:rsidR="00D47FDC" w:rsidRPr="00D47FDC" w:rsidRDefault="00D47FDC" w:rsidP="00D47FDC">
            <w:pPr>
              <w:jc w:val="center"/>
            </w:pPr>
            <w:r w:rsidRPr="00D47FDC">
              <w:t>018</w:t>
            </w:r>
          </w:p>
        </w:tc>
        <w:tc>
          <w:tcPr>
            <w:tcW w:w="8938" w:type="dxa"/>
            <w:tcBorders>
              <w:bottom w:val="single" w:sz="6" w:space="0" w:color="auto"/>
            </w:tcBorders>
            <w:vAlign w:val="center"/>
          </w:tcPr>
          <w:p w14:paraId="1DCA4954" w14:textId="1BA0F78B" w:rsidR="00D47FDC" w:rsidRPr="00D47FDC" w:rsidRDefault="00CB6B37" w:rsidP="00D47FDC">
            <w:r>
              <w:rPr>
                <w:szCs w:val="22"/>
              </w:rPr>
              <w:t>CT</w:t>
            </w:r>
            <w:r w:rsidR="00D47FDC" w:rsidRPr="00C16FF6">
              <w:rPr>
                <w:szCs w:val="22"/>
              </w:rPr>
              <w:t xml:space="preserve"> with </w:t>
            </w:r>
            <w:r>
              <w:rPr>
                <w:szCs w:val="22"/>
              </w:rPr>
              <w:t>HRSG</w:t>
            </w:r>
            <w:r w:rsidR="00D47FDC" w:rsidRPr="00C16FF6">
              <w:rPr>
                <w:szCs w:val="22"/>
              </w:rPr>
              <w:t xml:space="preserve"> (CT 8D)</w:t>
            </w:r>
          </w:p>
        </w:tc>
      </w:tr>
      <w:tr w:rsidR="00D47FDC" w14:paraId="0E6A6056" w14:textId="77777777" w:rsidTr="00D47FDC">
        <w:tc>
          <w:tcPr>
            <w:tcW w:w="1016" w:type="dxa"/>
            <w:tcBorders>
              <w:bottom w:val="single" w:sz="6" w:space="0" w:color="auto"/>
            </w:tcBorders>
          </w:tcPr>
          <w:p w14:paraId="6BEA1EA7" w14:textId="76F34B22" w:rsidR="00D47FDC" w:rsidRPr="00D47FDC" w:rsidRDefault="00D47FDC" w:rsidP="00D47FDC">
            <w:pPr>
              <w:jc w:val="center"/>
            </w:pPr>
            <w:r w:rsidRPr="00D47FDC">
              <w:t>019</w:t>
            </w:r>
          </w:p>
        </w:tc>
        <w:tc>
          <w:tcPr>
            <w:tcW w:w="8938" w:type="dxa"/>
            <w:tcBorders>
              <w:bottom w:val="single" w:sz="6" w:space="0" w:color="auto"/>
            </w:tcBorders>
          </w:tcPr>
          <w:p w14:paraId="0FA6D5F2" w14:textId="7BA7343D" w:rsidR="00D47FDC" w:rsidRPr="00D47FDC" w:rsidRDefault="00D47FDC" w:rsidP="00D47FDC">
            <w:r w:rsidRPr="00C16FF6">
              <w:rPr>
                <w:szCs w:val="22"/>
              </w:rPr>
              <w:t>Mechanical Draft Cooling Tower for Unit 8</w:t>
            </w:r>
          </w:p>
        </w:tc>
      </w:tr>
      <w:tr w:rsidR="00D47FDC" w14:paraId="4E00A2CA" w14:textId="77777777" w:rsidTr="00753207">
        <w:tc>
          <w:tcPr>
            <w:tcW w:w="1016" w:type="dxa"/>
            <w:tcBorders>
              <w:bottom w:val="single" w:sz="6" w:space="0" w:color="auto"/>
            </w:tcBorders>
          </w:tcPr>
          <w:p w14:paraId="14222996" w14:textId="197C30AA" w:rsidR="00D47FDC" w:rsidRPr="00D47FDC" w:rsidRDefault="00D47FDC" w:rsidP="00D47FDC">
            <w:pPr>
              <w:jc w:val="center"/>
            </w:pPr>
            <w:r w:rsidRPr="00D47FDC">
              <w:t>022</w:t>
            </w:r>
          </w:p>
        </w:tc>
        <w:tc>
          <w:tcPr>
            <w:tcW w:w="8938" w:type="dxa"/>
            <w:tcBorders>
              <w:bottom w:val="single" w:sz="6" w:space="0" w:color="auto"/>
            </w:tcBorders>
            <w:vAlign w:val="center"/>
          </w:tcPr>
          <w:p w14:paraId="7DA214B0" w14:textId="588C025E" w:rsidR="00D47FDC" w:rsidRPr="00D47FDC" w:rsidRDefault="00D47FDC" w:rsidP="00D47FDC">
            <w:r w:rsidRPr="00C16FF6">
              <w:rPr>
                <w:szCs w:val="22"/>
              </w:rPr>
              <w:t>One Diesel Engine-driven Emergency Fire Pump</w:t>
            </w:r>
          </w:p>
        </w:tc>
      </w:tr>
      <w:tr w:rsidR="00D47FDC" w14:paraId="30695D42" w14:textId="77777777" w:rsidTr="00753207">
        <w:tc>
          <w:tcPr>
            <w:tcW w:w="1016" w:type="dxa"/>
            <w:tcBorders>
              <w:bottom w:val="single" w:sz="6" w:space="0" w:color="auto"/>
            </w:tcBorders>
          </w:tcPr>
          <w:p w14:paraId="0901568C" w14:textId="1F15F7F4" w:rsidR="00D47FDC" w:rsidRPr="00D47FDC" w:rsidRDefault="00D47FDC" w:rsidP="00D47FDC">
            <w:pPr>
              <w:jc w:val="center"/>
            </w:pPr>
            <w:r w:rsidRPr="00D47FDC">
              <w:t>023</w:t>
            </w:r>
          </w:p>
        </w:tc>
        <w:tc>
          <w:tcPr>
            <w:tcW w:w="8938" w:type="dxa"/>
            <w:tcBorders>
              <w:bottom w:val="single" w:sz="6" w:space="0" w:color="auto"/>
            </w:tcBorders>
            <w:vAlign w:val="center"/>
          </w:tcPr>
          <w:p w14:paraId="1361F7BA" w14:textId="0E43B3E2" w:rsidR="00D47FDC" w:rsidRPr="00D47FDC" w:rsidRDefault="00D47FDC" w:rsidP="00D47FDC">
            <w:r w:rsidRPr="00C16FF6">
              <w:rPr>
                <w:szCs w:val="22"/>
              </w:rPr>
              <w:t>Four Hurricane Emergency Shelter Stationary Spark Ignition Engines</w:t>
            </w:r>
          </w:p>
        </w:tc>
      </w:tr>
      <w:tr w:rsidR="00D47FDC" w14:paraId="0E9CBB00" w14:textId="77777777" w:rsidTr="00753207">
        <w:tc>
          <w:tcPr>
            <w:tcW w:w="1016" w:type="dxa"/>
            <w:tcBorders>
              <w:bottom w:val="single" w:sz="6" w:space="0" w:color="auto"/>
            </w:tcBorders>
          </w:tcPr>
          <w:p w14:paraId="552B79C7" w14:textId="4E6FE326" w:rsidR="00D47FDC" w:rsidRPr="00D47FDC" w:rsidRDefault="00D47FDC" w:rsidP="00D47FDC">
            <w:pPr>
              <w:jc w:val="center"/>
            </w:pPr>
            <w:r w:rsidRPr="00D47FDC">
              <w:t>024</w:t>
            </w:r>
          </w:p>
        </w:tc>
        <w:tc>
          <w:tcPr>
            <w:tcW w:w="8938" w:type="dxa"/>
            <w:tcBorders>
              <w:bottom w:val="single" w:sz="6" w:space="0" w:color="auto"/>
            </w:tcBorders>
            <w:vAlign w:val="center"/>
          </w:tcPr>
          <w:p w14:paraId="7FEBA819" w14:textId="56588F83" w:rsidR="00D47FDC" w:rsidRPr="00D47FDC" w:rsidRDefault="00D47FDC" w:rsidP="00D47FDC">
            <w:r w:rsidRPr="00C16FF6">
              <w:rPr>
                <w:szCs w:val="22"/>
              </w:rPr>
              <w:t>One Spark Ignition Engine-driven Emergency Generator</w:t>
            </w:r>
          </w:p>
        </w:tc>
      </w:tr>
      <w:tr w:rsidR="00BD3919" w14:paraId="04A2C1E6" w14:textId="77777777" w:rsidTr="00753207">
        <w:tc>
          <w:tcPr>
            <w:tcW w:w="1016" w:type="dxa"/>
            <w:tcBorders>
              <w:bottom w:val="single" w:sz="6" w:space="0" w:color="auto"/>
            </w:tcBorders>
          </w:tcPr>
          <w:p w14:paraId="5BAE1A4E" w14:textId="2DC6AEA0" w:rsidR="00BD3919" w:rsidRPr="00D47FDC" w:rsidRDefault="00BD3919" w:rsidP="00BD3919">
            <w:pPr>
              <w:jc w:val="center"/>
            </w:pPr>
            <w:r w:rsidRPr="00D47FDC">
              <w:t>026</w:t>
            </w:r>
          </w:p>
        </w:tc>
        <w:tc>
          <w:tcPr>
            <w:tcW w:w="8938" w:type="dxa"/>
            <w:tcBorders>
              <w:bottom w:val="single" w:sz="6" w:space="0" w:color="auto"/>
            </w:tcBorders>
            <w:vAlign w:val="center"/>
          </w:tcPr>
          <w:p w14:paraId="41340B50" w14:textId="3A25F06A" w:rsidR="00BD3919" w:rsidRPr="00C16FF6" w:rsidRDefault="00BD3919" w:rsidP="00BD3919">
            <w:pPr>
              <w:rPr>
                <w:szCs w:val="22"/>
              </w:rPr>
            </w:pPr>
            <w:r w:rsidRPr="0083300F">
              <w:rPr>
                <w:szCs w:val="22"/>
              </w:rPr>
              <w:t>New Auxiliary Boiler (for EU Nos. 003–006)</w:t>
            </w:r>
          </w:p>
        </w:tc>
      </w:tr>
      <w:tr w:rsidR="00BD3919" w14:paraId="67AAB441" w14:textId="77777777" w:rsidTr="00753207">
        <w:tc>
          <w:tcPr>
            <w:tcW w:w="1016" w:type="dxa"/>
            <w:tcBorders>
              <w:top w:val="single" w:sz="6" w:space="0" w:color="auto"/>
              <w:bottom w:val="single" w:sz="12" w:space="0" w:color="auto"/>
            </w:tcBorders>
          </w:tcPr>
          <w:p w14:paraId="5609CF67" w14:textId="3E9826BD" w:rsidR="00BD3919" w:rsidRPr="00603823" w:rsidRDefault="00BD3919" w:rsidP="00BD3919">
            <w:pPr>
              <w:jc w:val="center"/>
            </w:pPr>
            <w:r w:rsidRPr="00603823">
              <w:t>027</w:t>
            </w:r>
          </w:p>
        </w:tc>
        <w:tc>
          <w:tcPr>
            <w:tcW w:w="8938" w:type="dxa"/>
            <w:tcBorders>
              <w:top w:val="single" w:sz="6" w:space="0" w:color="auto"/>
              <w:bottom w:val="single" w:sz="12" w:space="0" w:color="auto"/>
            </w:tcBorders>
            <w:vAlign w:val="center"/>
          </w:tcPr>
          <w:p w14:paraId="5166968E" w14:textId="358DE099" w:rsidR="00BD3919" w:rsidRPr="00603823" w:rsidRDefault="00BD3919" w:rsidP="00BD3919">
            <w:r w:rsidRPr="00603823">
              <w:rPr>
                <w:szCs w:val="22"/>
              </w:rPr>
              <w:t>Data Center Emergency SI RICE</w:t>
            </w:r>
          </w:p>
        </w:tc>
      </w:tr>
      <w:tr w:rsidR="00BD3919" w14:paraId="40C59919" w14:textId="77777777" w:rsidTr="00D47FDC">
        <w:tc>
          <w:tcPr>
            <w:tcW w:w="9954" w:type="dxa"/>
            <w:gridSpan w:val="2"/>
            <w:tcBorders>
              <w:top w:val="single" w:sz="12" w:space="0" w:color="auto"/>
            </w:tcBorders>
          </w:tcPr>
          <w:p w14:paraId="1AD20652" w14:textId="77777777" w:rsidR="00BD3919" w:rsidRDefault="00BD3919" w:rsidP="00BD3919">
            <w:pPr>
              <w:rPr>
                <w:i/>
              </w:rPr>
            </w:pPr>
            <w:r w:rsidRPr="00EF1A9E">
              <w:rPr>
                <w:i/>
              </w:rPr>
              <w:t>Unregulated Emissions Units and Activities</w:t>
            </w:r>
            <w:r>
              <w:rPr>
                <w:i/>
              </w:rPr>
              <w:t xml:space="preserve"> </w:t>
            </w:r>
          </w:p>
          <w:p w14:paraId="06493010" w14:textId="77777777" w:rsidR="00BD3919" w:rsidRPr="00EF1A9E" w:rsidRDefault="00BD3919" w:rsidP="00BD3919">
            <w:pPr>
              <w:rPr>
                <w:i/>
              </w:rPr>
            </w:pPr>
            <w:r>
              <w:rPr>
                <w:i/>
              </w:rPr>
              <w:t xml:space="preserve">(see Appendix </w:t>
            </w:r>
            <w:r w:rsidRPr="00AB23B2">
              <w:rPr>
                <w:i/>
              </w:rPr>
              <w:t>U, List of Unregulated Emissions Units and/or Activities)</w:t>
            </w:r>
          </w:p>
        </w:tc>
      </w:tr>
      <w:tr w:rsidR="00BD3919" w14:paraId="452ED4D4" w14:textId="77777777" w:rsidTr="00753207">
        <w:tc>
          <w:tcPr>
            <w:tcW w:w="1016" w:type="dxa"/>
          </w:tcPr>
          <w:p w14:paraId="778F3244" w14:textId="287BD0AD" w:rsidR="00BD3919" w:rsidRPr="005F3D97" w:rsidRDefault="00BD3919" w:rsidP="00BD3919">
            <w:pPr>
              <w:jc w:val="center"/>
            </w:pPr>
            <w:r w:rsidRPr="005F3D97">
              <w:t>009</w:t>
            </w:r>
          </w:p>
        </w:tc>
        <w:tc>
          <w:tcPr>
            <w:tcW w:w="8938" w:type="dxa"/>
            <w:vAlign w:val="center"/>
          </w:tcPr>
          <w:p w14:paraId="4B8840E8" w14:textId="2A164696" w:rsidR="00BD3919" w:rsidRPr="00EF1A9E" w:rsidRDefault="00BD3919" w:rsidP="00BD3919">
            <w:pPr>
              <w:tabs>
                <w:tab w:val="left" w:pos="1532"/>
              </w:tabs>
            </w:pPr>
            <w:r w:rsidRPr="006F304A">
              <w:rPr>
                <w:szCs w:val="22"/>
              </w:rPr>
              <w:t xml:space="preserve">One Diesel Engine-driven Emergency Generator (for </w:t>
            </w:r>
            <w:r>
              <w:rPr>
                <w:szCs w:val="22"/>
              </w:rPr>
              <w:t>EU Nos.</w:t>
            </w:r>
            <w:r w:rsidRPr="006F304A">
              <w:rPr>
                <w:szCs w:val="22"/>
              </w:rPr>
              <w:t xml:space="preserve"> 003 to 006)</w:t>
            </w:r>
          </w:p>
        </w:tc>
      </w:tr>
      <w:tr w:rsidR="00BD3919" w14:paraId="3B513551" w14:textId="77777777" w:rsidTr="00D47FDC">
        <w:tc>
          <w:tcPr>
            <w:tcW w:w="1016" w:type="dxa"/>
          </w:tcPr>
          <w:p w14:paraId="7DD85BF2" w14:textId="4AE9804A" w:rsidR="00BD3919" w:rsidRPr="005F3D97" w:rsidRDefault="00BD3919" w:rsidP="00BD3919">
            <w:pPr>
              <w:jc w:val="center"/>
            </w:pPr>
            <w:r w:rsidRPr="005F3D97">
              <w:t>015</w:t>
            </w:r>
          </w:p>
        </w:tc>
        <w:tc>
          <w:tcPr>
            <w:tcW w:w="8938" w:type="dxa"/>
          </w:tcPr>
          <w:p w14:paraId="704C5476" w14:textId="68959676" w:rsidR="00BD3919" w:rsidRPr="00EF1A9E" w:rsidRDefault="00BD3919" w:rsidP="00BD3919">
            <w:r w:rsidRPr="006F304A">
              <w:rPr>
                <w:szCs w:val="22"/>
              </w:rPr>
              <w:t>One Diesel Engine-driven Emergency Generator to aid Unit No</w:t>
            </w:r>
            <w:r>
              <w:rPr>
                <w:szCs w:val="22"/>
              </w:rPr>
              <w:t>s</w:t>
            </w:r>
            <w:r w:rsidRPr="006F304A">
              <w:rPr>
                <w:szCs w:val="22"/>
              </w:rPr>
              <w:t>. 1 and 2</w:t>
            </w:r>
          </w:p>
        </w:tc>
      </w:tr>
      <w:tr w:rsidR="00BD3919" w14:paraId="33E2233B" w14:textId="77777777" w:rsidTr="00D47FDC">
        <w:tc>
          <w:tcPr>
            <w:tcW w:w="1016" w:type="dxa"/>
          </w:tcPr>
          <w:p w14:paraId="2FB71AED" w14:textId="1A8CD66A" w:rsidR="00BD3919" w:rsidRPr="005F3D97" w:rsidRDefault="00BD3919" w:rsidP="00BD3919">
            <w:pPr>
              <w:jc w:val="center"/>
            </w:pPr>
            <w:r w:rsidRPr="005F3D97">
              <w:t>016</w:t>
            </w:r>
          </w:p>
        </w:tc>
        <w:tc>
          <w:tcPr>
            <w:tcW w:w="8938" w:type="dxa"/>
          </w:tcPr>
          <w:p w14:paraId="1E90CBAB" w14:textId="00AE05F1" w:rsidR="00BD3919" w:rsidRPr="00EF1A9E" w:rsidRDefault="00BD3919" w:rsidP="00BD3919">
            <w:r w:rsidRPr="006F304A">
              <w:rPr>
                <w:szCs w:val="22"/>
              </w:rPr>
              <w:t>Facility-wide Fugitive Emissions for PM and VOC</w:t>
            </w:r>
          </w:p>
        </w:tc>
      </w:tr>
      <w:tr w:rsidR="00BD3919" w14:paraId="3C35F110" w14:textId="77777777" w:rsidTr="00D47FDC">
        <w:tc>
          <w:tcPr>
            <w:tcW w:w="1016" w:type="dxa"/>
          </w:tcPr>
          <w:p w14:paraId="30A7ACF9" w14:textId="10803BDC" w:rsidR="00BD3919" w:rsidRPr="005F3D97" w:rsidRDefault="00BD3919" w:rsidP="00BD3919">
            <w:pPr>
              <w:jc w:val="center"/>
            </w:pPr>
            <w:r w:rsidRPr="005F3D97">
              <w:t>025</w:t>
            </w:r>
          </w:p>
        </w:tc>
        <w:tc>
          <w:tcPr>
            <w:tcW w:w="8938" w:type="dxa"/>
          </w:tcPr>
          <w:p w14:paraId="2BA38BC6" w14:textId="494DE79D" w:rsidR="00BD3919" w:rsidRPr="00EF1A9E" w:rsidRDefault="00BD3919" w:rsidP="00BD3919">
            <w:r w:rsidRPr="006F304A">
              <w:rPr>
                <w:szCs w:val="22"/>
              </w:rPr>
              <w:t xml:space="preserve">Two Diesel Engine-driven Emergency Generators to aid Unit 8 </w:t>
            </w:r>
            <w:r>
              <w:rPr>
                <w:szCs w:val="22"/>
              </w:rPr>
              <w:t>(</w:t>
            </w:r>
            <w:r w:rsidRPr="006F304A">
              <w:rPr>
                <w:szCs w:val="22"/>
              </w:rPr>
              <w:t>EU</w:t>
            </w:r>
            <w:r>
              <w:rPr>
                <w:szCs w:val="22"/>
              </w:rPr>
              <w:t xml:space="preserve"> Nos.</w:t>
            </w:r>
            <w:r w:rsidRPr="006F304A">
              <w:rPr>
                <w:szCs w:val="22"/>
              </w:rPr>
              <w:t xml:space="preserve"> 011, 012, 017 and 018</w:t>
            </w:r>
            <w:r>
              <w:rPr>
                <w:szCs w:val="22"/>
              </w:rPr>
              <w:t>)</w:t>
            </w:r>
          </w:p>
        </w:tc>
      </w:tr>
    </w:tbl>
    <w:p w14:paraId="7C6DCD3F" w14:textId="77777777" w:rsidR="00AE52ED" w:rsidRPr="00B7362C" w:rsidRDefault="00147329" w:rsidP="00147329">
      <w:pPr>
        <w:spacing w:before="120" w:after="120"/>
        <w:jc w:val="both"/>
        <w:rPr>
          <w:szCs w:val="22"/>
        </w:rPr>
      </w:pPr>
      <w:r w:rsidRPr="005F3D97">
        <w:t>Also included in this permit are miscellaneous insignificant emissions units and/or activities (see Appendix I</w:t>
      </w:r>
      <w:r w:rsidR="00AB23B2" w:rsidRPr="005F3D97">
        <w:t>,</w:t>
      </w:r>
      <w:r w:rsidRPr="005F3D97">
        <w:t xml:space="preserve"> List of Insignificant Emissions Units and/or Activities).</w:t>
      </w:r>
    </w:p>
    <w:p w14:paraId="1B67F34F" w14:textId="77777777" w:rsidR="00C01B12" w:rsidRPr="00A30956" w:rsidRDefault="00C01B12" w:rsidP="00A30956">
      <w:pPr>
        <w:spacing w:after="120"/>
        <w:rPr>
          <w:b/>
          <w:szCs w:val="22"/>
          <w:u w:val="single"/>
        </w:rPr>
      </w:pPr>
      <w:bookmarkStart w:id="10" w:name="Section1C"/>
      <w:bookmarkEnd w:id="10"/>
      <w:r w:rsidRPr="00A30956">
        <w:rPr>
          <w:b/>
          <w:szCs w:val="22"/>
          <w:u w:val="single"/>
        </w:rPr>
        <w:t xml:space="preserve">Subsection </w:t>
      </w:r>
      <w:r w:rsidR="001E5E57" w:rsidRPr="00A30956">
        <w:rPr>
          <w:b/>
          <w:szCs w:val="22"/>
          <w:u w:val="single"/>
        </w:rPr>
        <w:t>C</w:t>
      </w:r>
      <w:r w:rsidRPr="00A30956">
        <w:rPr>
          <w:b/>
          <w:szCs w:val="22"/>
          <w:u w:val="single"/>
        </w:rPr>
        <w:t xml:space="preserve">.  </w:t>
      </w:r>
      <w:r w:rsidR="001E5E57" w:rsidRPr="00A30956">
        <w:rPr>
          <w:b/>
          <w:szCs w:val="22"/>
          <w:u w:val="single"/>
        </w:rPr>
        <w:t>Applicable Regulations.</w:t>
      </w:r>
    </w:p>
    <w:p w14:paraId="7DEDD644" w14:textId="0E2DA725" w:rsidR="00C01B12" w:rsidRPr="00C01B12" w:rsidRDefault="00FA5059" w:rsidP="00C01B12">
      <w:pPr>
        <w:pStyle w:val="BodyText3"/>
        <w:rPr>
          <w:sz w:val="22"/>
          <w:szCs w:val="22"/>
        </w:rPr>
      </w:pPr>
      <w:r w:rsidRPr="00C01B12">
        <w:rPr>
          <w:sz w:val="22"/>
          <w:szCs w:val="22"/>
        </w:rPr>
        <w:t xml:space="preserve">Based on the Title V </w:t>
      </w:r>
      <w:r w:rsidR="002F1344">
        <w:rPr>
          <w:sz w:val="22"/>
          <w:szCs w:val="22"/>
        </w:rPr>
        <w:t>a</w:t>
      </w:r>
      <w:r w:rsidRPr="00C01B12">
        <w:rPr>
          <w:sz w:val="22"/>
          <w:szCs w:val="22"/>
        </w:rPr>
        <w:t xml:space="preserve">ir </w:t>
      </w:r>
      <w:r w:rsidR="002F1344">
        <w:rPr>
          <w:sz w:val="22"/>
          <w:szCs w:val="22"/>
        </w:rPr>
        <w:t>o</w:t>
      </w:r>
      <w:r w:rsidRPr="00C01B12">
        <w:rPr>
          <w:sz w:val="22"/>
          <w:szCs w:val="22"/>
        </w:rPr>
        <w:t xml:space="preserve">peration </w:t>
      </w:r>
      <w:r w:rsidR="002F1344">
        <w:rPr>
          <w:sz w:val="22"/>
          <w:szCs w:val="22"/>
        </w:rPr>
        <w:t>permit r</w:t>
      </w:r>
      <w:r w:rsidRPr="00C01B12">
        <w:rPr>
          <w:sz w:val="22"/>
          <w:szCs w:val="22"/>
        </w:rPr>
        <w:t xml:space="preserve">enewal application </w:t>
      </w:r>
      <w:r w:rsidRPr="00226C81">
        <w:rPr>
          <w:sz w:val="22"/>
          <w:szCs w:val="22"/>
        </w:rPr>
        <w:t xml:space="preserve">received </w:t>
      </w:r>
      <w:r w:rsidR="00226C81" w:rsidRPr="00226C81">
        <w:rPr>
          <w:sz w:val="22"/>
          <w:szCs w:val="22"/>
        </w:rPr>
        <w:t>May 21, 2018</w:t>
      </w:r>
      <w:r>
        <w:rPr>
          <w:sz w:val="22"/>
          <w:szCs w:val="22"/>
        </w:rPr>
        <w:t xml:space="preserve">, this </w:t>
      </w:r>
      <w:r w:rsidRPr="006344CB">
        <w:rPr>
          <w:sz w:val="22"/>
          <w:szCs w:val="22"/>
        </w:rPr>
        <w:t>facility is a major source of hazardous air pollutants (HAP).</w:t>
      </w:r>
      <w:r w:rsidR="00E530DB" w:rsidRPr="006344CB">
        <w:rPr>
          <w:sz w:val="22"/>
          <w:szCs w:val="22"/>
        </w:rPr>
        <w:t xml:space="preserve">  </w:t>
      </w:r>
      <w:r w:rsidR="00C01B12" w:rsidRPr="006344CB">
        <w:rPr>
          <w:sz w:val="22"/>
          <w:szCs w:val="22"/>
        </w:rPr>
        <w:t>Th</w:t>
      </w:r>
      <w:r w:rsidR="009476C9" w:rsidRPr="006344CB">
        <w:rPr>
          <w:sz w:val="22"/>
          <w:szCs w:val="22"/>
        </w:rPr>
        <w:t>e existing</w:t>
      </w:r>
      <w:r w:rsidR="00C01B12" w:rsidRPr="006344CB">
        <w:rPr>
          <w:sz w:val="22"/>
          <w:szCs w:val="22"/>
        </w:rPr>
        <w:t xml:space="preserve"> facility is a </w:t>
      </w:r>
      <w:r w:rsidR="002F1344" w:rsidRPr="006344CB">
        <w:rPr>
          <w:sz w:val="22"/>
          <w:szCs w:val="22"/>
        </w:rPr>
        <w:t>prevention of significant deterioration (</w:t>
      </w:r>
      <w:r w:rsidR="00C01B12" w:rsidRPr="006344CB">
        <w:rPr>
          <w:sz w:val="22"/>
          <w:szCs w:val="22"/>
        </w:rPr>
        <w:t>PSD</w:t>
      </w:r>
      <w:r w:rsidR="002F1344" w:rsidRPr="006344CB">
        <w:rPr>
          <w:sz w:val="22"/>
          <w:szCs w:val="22"/>
        </w:rPr>
        <w:t>)</w:t>
      </w:r>
      <w:r w:rsidR="00C01B12" w:rsidRPr="006344CB">
        <w:rPr>
          <w:sz w:val="22"/>
          <w:szCs w:val="22"/>
        </w:rPr>
        <w:t xml:space="preserve"> major </w:t>
      </w:r>
      <w:r w:rsidR="009476C9" w:rsidRPr="006344CB">
        <w:rPr>
          <w:sz w:val="22"/>
          <w:szCs w:val="22"/>
        </w:rPr>
        <w:t>source of air pollutants in accordance with Rule 62-212.400, F.A.C.</w:t>
      </w:r>
      <w:r w:rsidR="00C01B12" w:rsidRPr="006344CB">
        <w:rPr>
          <w:sz w:val="22"/>
          <w:szCs w:val="22"/>
        </w:rPr>
        <w:t xml:space="preserve">  A summary of applicable regulations is shown in the following table</w:t>
      </w:r>
      <w:r w:rsidR="00C01B12" w:rsidRPr="00C01B12">
        <w:rPr>
          <w:sz w:val="22"/>
          <w:szCs w:val="22"/>
        </w:rPr>
        <w:t xml:space="preserve">.  </w:t>
      </w:r>
    </w:p>
    <w:tbl>
      <w:tblPr>
        <w:tblW w:w="9954" w:type="dxa"/>
        <w:tblInd w:w="108" w:type="dxa"/>
        <w:tblBorders>
          <w:top w:val="single" w:sz="12" w:space="0" w:color="auto"/>
          <w:left w:val="single" w:sz="12" w:space="0" w:color="auto"/>
          <w:bottom w:val="single" w:sz="12" w:space="0" w:color="auto"/>
          <w:right w:val="single" w:sz="12" w:space="0" w:color="auto"/>
          <w:insideH w:val="single" w:sz="6" w:space="0" w:color="auto"/>
          <w:insideV w:val="single" w:sz="12" w:space="0" w:color="auto"/>
        </w:tblBorders>
        <w:tblLayout w:type="fixed"/>
        <w:tblCellMar>
          <w:top w:w="43" w:type="dxa"/>
          <w:left w:w="72" w:type="dxa"/>
          <w:bottom w:w="43" w:type="dxa"/>
          <w:right w:w="72" w:type="dxa"/>
        </w:tblCellMar>
        <w:tblLook w:val="0000" w:firstRow="0" w:lastRow="0" w:firstColumn="0" w:lastColumn="0" w:noHBand="0" w:noVBand="0"/>
      </w:tblPr>
      <w:tblGrid>
        <w:gridCol w:w="6807"/>
        <w:gridCol w:w="3147"/>
      </w:tblGrid>
      <w:tr w:rsidR="00C01B12" w14:paraId="7B9F8701" w14:textId="77777777" w:rsidTr="00226C81">
        <w:trPr>
          <w:tblHeader/>
        </w:trPr>
        <w:tc>
          <w:tcPr>
            <w:tcW w:w="6807" w:type="dxa"/>
            <w:tcBorders>
              <w:top w:val="single" w:sz="12" w:space="0" w:color="auto"/>
              <w:bottom w:val="single" w:sz="12" w:space="0" w:color="auto"/>
            </w:tcBorders>
          </w:tcPr>
          <w:p w14:paraId="2841F43A" w14:textId="77777777" w:rsidR="00C01B12" w:rsidRPr="00EF1A9E" w:rsidRDefault="00C01B12" w:rsidP="00D66F5B">
            <w:pPr>
              <w:rPr>
                <w:b/>
              </w:rPr>
            </w:pPr>
            <w:bookmarkStart w:id="11" w:name="_Hlk519690974"/>
            <w:r>
              <w:rPr>
                <w:b/>
              </w:rPr>
              <w:t>Regulation</w:t>
            </w:r>
          </w:p>
        </w:tc>
        <w:tc>
          <w:tcPr>
            <w:tcW w:w="3147" w:type="dxa"/>
            <w:tcBorders>
              <w:top w:val="single" w:sz="12" w:space="0" w:color="auto"/>
              <w:bottom w:val="single" w:sz="12" w:space="0" w:color="auto"/>
            </w:tcBorders>
          </w:tcPr>
          <w:p w14:paraId="054322ED" w14:textId="77777777" w:rsidR="00C01B12" w:rsidRPr="00B05E70" w:rsidRDefault="00C01B12" w:rsidP="00D66F5B">
            <w:pPr>
              <w:pStyle w:val="Heading2"/>
              <w:rPr>
                <w:sz w:val="20"/>
                <w:u w:val="none"/>
              </w:rPr>
            </w:pPr>
            <w:r w:rsidRPr="00B05E70">
              <w:rPr>
                <w:u w:val="none"/>
              </w:rPr>
              <w:t>EU No</w:t>
            </w:r>
            <w:r>
              <w:rPr>
                <w:u w:val="none"/>
              </w:rPr>
              <w:t>(s)</w:t>
            </w:r>
            <w:r w:rsidRPr="00B05E70">
              <w:rPr>
                <w:u w:val="none"/>
              </w:rPr>
              <w:t>.</w:t>
            </w:r>
          </w:p>
        </w:tc>
      </w:tr>
      <w:tr w:rsidR="00D521CD" w14:paraId="737C0DC8" w14:textId="77777777" w:rsidTr="00C622F1">
        <w:trPr>
          <w:tblHeader/>
        </w:trPr>
        <w:tc>
          <w:tcPr>
            <w:tcW w:w="9954" w:type="dxa"/>
            <w:gridSpan w:val="2"/>
            <w:tcBorders>
              <w:top w:val="single" w:sz="12" w:space="0" w:color="auto"/>
              <w:bottom w:val="single" w:sz="4" w:space="0" w:color="auto"/>
            </w:tcBorders>
          </w:tcPr>
          <w:p w14:paraId="320B384F" w14:textId="77777777" w:rsidR="00D521CD" w:rsidRPr="00B05E70" w:rsidRDefault="00D521CD" w:rsidP="00D521CD">
            <w:pPr>
              <w:jc w:val="center"/>
            </w:pPr>
            <w:r w:rsidRPr="00115F13">
              <w:rPr>
                <w:i/>
              </w:rPr>
              <w:t>Federal Rule Citations</w:t>
            </w:r>
          </w:p>
        </w:tc>
      </w:tr>
      <w:tr w:rsidR="00226C81" w14:paraId="66E12490" w14:textId="77777777" w:rsidTr="00226C81">
        <w:tc>
          <w:tcPr>
            <w:tcW w:w="6807" w:type="dxa"/>
            <w:tcBorders>
              <w:top w:val="single" w:sz="4" w:space="0" w:color="auto"/>
            </w:tcBorders>
            <w:vAlign w:val="center"/>
          </w:tcPr>
          <w:p w14:paraId="79299EC0" w14:textId="3CE9D923" w:rsidR="00226C81" w:rsidRPr="00525CAE" w:rsidRDefault="00226C81" w:rsidP="00226C81">
            <w:pPr>
              <w:rPr>
                <w:highlight w:val="yellow"/>
              </w:rPr>
            </w:pPr>
            <w:r w:rsidRPr="00C16FF6">
              <w:rPr>
                <w:szCs w:val="22"/>
              </w:rPr>
              <w:t>40 CFR 60, Subpart A, NSPS General Provisions</w:t>
            </w:r>
          </w:p>
        </w:tc>
        <w:tc>
          <w:tcPr>
            <w:tcW w:w="3147" w:type="dxa"/>
            <w:tcBorders>
              <w:top w:val="single" w:sz="4" w:space="0" w:color="auto"/>
            </w:tcBorders>
            <w:vAlign w:val="center"/>
          </w:tcPr>
          <w:p w14:paraId="4CBC1792" w14:textId="0102A3D2" w:rsidR="00226C81" w:rsidRPr="00603823" w:rsidRDefault="00226C81" w:rsidP="00226C81">
            <w:pPr>
              <w:jc w:val="center"/>
            </w:pPr>
            <w:r w:rsidRPr="00603823">
              <w:rPr>
                <w:szCs w:val="22"/>
              </w:rPr>
              <w:t>001, 002, 003, 004, 005, 006, 007, 011, 012, 017, 018, 026</w:t>
            </w:r>
            <w:r w:rsidR="00BD3919" w:rsidRPr="00603823">
              <w:rPr>
                <w:szCs w:val="22"/>
              </w:rPr>
              <w:t>, 027</w:t>
            </w:r>
          </w:p>
        </w:tc>
      </w:tr>
      <w:tr w:rsidR="00226C81" w14:paraId="4C8AD8BD" w14:textId="77777777" w:rsidTr="00226C81">
        <w:tc>
          <w:tcPr>
            <w:tcW w:w="6807" w:type="dxa"/>
            <w:vAlign w:val="center"/>
          </w:tcPr>
          <w:p w14:paraId="6644910F" w14:textId="66D7288D" w:rsidR="00226C81" w:rsidRPr="00525CAE" w:rsidRDefault="00226C81" w:rsidP="00226C81">
            <w:pPr>
              <w:rPr>
                <w:highlight w:val="yellow"/>
              </w:rPr>
            </w:pPr>
            <w:r w:rsidRPr="00C16FF6">
              <w:rPr>
                <w:szCs w:val="22"/>
              </w:rPr>
              <w:t>40 CFR 60, Subpart D, Standards of Performance for Fossil-Fuel-Fired Steam Generators</w:t>
            </w:r>
          </w:p>
        </w:tc>
        <w:tc>
          <w:tcPr>
            <w:tcW w:w="3147" w:type="dxa"/>
            <w:vAlign w:val="center"/>
          </w:tcPr>
          <w:p w14:paraId="6F7DEA1A" w14:textId="7680B089" w:rsidR="00226C81" w:rsidRPr="00EF1A9E" w:rsidRDefault="00226C81" w:rsidP="00226C81">
            <w:pPr>
              <w:jc w:val="center"/>
            </w:pPr>
            <w:r w:rsidRPr="00C16FF6">
              <w:rPr>
                <w:szCs w:val="22"/>
              </w:rPr>
              <w:t>001, 002</w:t>
            </w:r>
          </w:p>
        </w:tc>
      </w:tr>
      <w:tr w:rsidR="00226C81" w14:paraId="7F5D197D" w14:textId="77777777" w:rsidTr="00226C81">
        <w:tc>
          <w:tcPr>
            <w:tcW w:w="6807" w:type="dxa"/>
            <w:vAlign w:val="center"/>
          </w:tcPr>
          <w:p w14:paraId="05A996B7" w14:textId="4AB55C0A" w:rsidR="00226C81" w:rsidRPr="00525CAE" w:rsidRDefault="00226C81" w:rsidP="00226C81">
            <w:pPr>
              <w:rPr>
                <w:highlight w:val="yellow"/>
              </w:rPr>
            </w:pPr>
            <w:r w:rsidRPr="00C16FF6">
              <w:rPr>
                <w:szCs w:val="22"/>
              </w:rPr>
              <w:t>40 CFR</w:t>
            </w:r>
            <w:r>
              <w:rPr>
                <w:szCs w:val="22"/>
              </w:rPr>
              <w:t xml:space="preserve"> 60</w:t>
            </w:r>
            <w:r w:rsidRPr="00C16FF6">
              <w:rPr>
                <w:szCs w:val="22"/>
              </w:rPr>
              <w:t>, Subpart Dc, Standards of Performance for Small Industrial-Commercial-Institutional Steam Generating Units</w:t>
            </w:r>
          </w:p>
        </w:tc>
        <w:tc>
          <w:tcPr>
            <w:tcW w:w="3147" w:type="dxa"/>
            <w:vAlign w:val="center"/>
          </w:tcPr>
          <w:p w14:paraId="5607ABF7" w14:textId="3FEB3B01" w:rsidR="00226C81" w:rsidRPr="00EF1A9E" w:rsidRDefault="00226C81" w:rsidP="00226C81">
            <w:pPr>
              <w:jc w:val="center"/>
            </w:pPr>
            <w:r w:rsidRPr="0083300F">
              <w:rPr>
                <w:szCs w:val="22"/>
              </w:rPr>
              <w:t>026</w:t>
            </w:r>
          </w:p>
        </w:tc>
      </w:tr>
      <w:tr w:rsidR="00226C81" w14:paraId="75B728B7" w14:textId="77777777" w:rsidTr="00226C81">
        <w:tc>
          <w:tcPr>
            <w:tcW w:w="6807" w:type="dxa"/>
            <w:tcBorders>
              <w:bottom w:val="single" w:sz="6" w:space="0" w:color="auto"/>
            </w:tcBorders>
            <w:vAlign w:val="center"/>
          </w:tcPr>
          <w:p w14:paraId="31A7CCCB" w14:textId="39986BE3" w:rsidR="00226C81" w:rsidRPr="00525CAE" w:rsidRDefault="00226C81" w:rsidP="00226C81">
            <w:pPr>
              <w:rPr>
                <w:highlight w:val="yellow"/>
              </w:rPr>
            </w:pPr>
            <w:r>
              <w:t>40 CFR 60, Subpart GG, Standards of Performance for Stationary Gas Turbines</w:t>
            </w:r>
          </w:p>
        </w:tc>
        <w:tc>
          <w:tcPr>
            <w:tcW w:w="3147" w:type="dxa"/>
            <w:tcBorders>
              <w:bottom w:val="single" w:sz="6" w:space="0" w:color="auto"/>
            </w:tcBorders>
            <w:vAlign w:val="center"/>
          </w:tcPr>
          <w:p w14:paraId="0D684F4E" w14:textId="01F26B37" w:rsidR="00226C81" w:rsidRPr="00EF1A9E" w:rsidRDefault="00226C81" w:rsidP="00226C81">
            <w:pPr>
              <w:jc w:val="center"/>
            </w:pPr>
            <w:r w:rsidRPr="00797A6B">
              <w:rPr>
                <w:szCs w:val="22"/>
              </w:rPr>
              <w:t>003, 004, 005, 006</w:t>
            </w:r>
          </w:p>
        </w:tc>
      </w:tr>
      <w:tr w:rsidR="00226C81" w14:paraId="4E44EDFE" w14:textId="77777777" w:rsidTr="00226C81">
        <w:tc>
          <w:tcPr>
            <w:tcW w:w="6807" w:type="dxa"/>
            <w:tcBorders>
              <w:top w:val="single" w:sz="6" w:space="0" w:color="auto"/>
              <w:bottom w:val="single" w:sz="8" w:space="0" w:color="auto"/>
              <w:right w:val="single" w:sz="12" w:space="0" w:color="auto"/>
            </w:tcBorders>
            <w:vAlign w:val="center"/>
          </w:tcPr>
          <w:p w14:paraId="0EA1FC54" w14:textId="6150DBA3" w:rsidR="00226C81" w:rsidRPr="00525CAE" w:rsidRDefault="00226C81" w:rsidP="00226C81">
            <w:pPr>
              <w:rPr>
                <w:highlight w:val="yellow"/>
              </w:rPr>
            </w:pPr>
            <w:r w:rsidRPr="0083300F">
              <w:rPr>
                <w:szCs w:val="22"/>
              </w:rPr>
              <w:t>40 CFR 60, Subpart KKKK, Standards of Performance for Stationary Combustion Turbines</w:t>
            </w:r>
          </w:p>
        </w:tc>
        <w:tc>
          <w:tcPr>
            <w:tcW w:w="3147" w:type="dxa"/>
            <w:tcBorders>
              <w:top w:val="single" w:sz="6" w:space="0" w:color="auto"/>
              <w:left w:val="single" w:sz="12" w:space="0" w:color="auto"/>
              <w:bottom w:val="single" w:sz="4" w:space="0" w:color="auto"/>
            </w:tcBorders>
            <w:vAlign w:val="center"/>
          </w:tcPr>
          <w:p w14:paraId="7759E220" w14:textId="7FD2E2CE" w:rsidR="00226C81" w:rsidRPr="00EF1A9E" w:rsidRDefault="00226C81" w:rsidP="00226C81">
            <w:pPr>
              <w:jc w:val="center"/>
            </w:pPr>
            <w:r w:rsidRPr="0083300F">
              <w:rPr>
                <w:szCs w:val="22"/>
              </w:rPr>
              <w:t>011, 012, 017, 018</w:t>
            </w:r>
          </w:p>
        </w:tc>
      </w:tr>
      <w:tr w:rsidR="00226C81" w14:paraId="13B81155" w14:textId="77777777" w:rsidTr="00226C81">
        <w:tc>
          <w:tcPr>
            <w:tcW w:w="6807" w:type="dxa"/>
            <w:tcBorders>
              <w:top w:val="single" w:sz="6" w:space="0" w:color="auto"/>
              <w:bottom w:val="single" w:sz="8" w:space="0" w:color="auto"/>
              <w:right w:val="single" w:sz="12" w:space="0" w:color="auto"/>
            </w:tcBorders>
            <w:vAlign w:val="center"/>
          </w:tcPr>
          <w:p w14:paraId="24CFFCEB" w14:textId="28CAC347" w:rsidR="00226C81" w:rsidRPr="00603823" w:rsidRDefault="00226C81" w:rsidP="00226C81">
            <w:r w:rsidRPr="00603823">
              <w:rPr>
                <w:szCs w:val="22"/>
              </w:rPr>
              <w:t>40 CFR 60, Subpart IIII, Standards of Performance for Stationary Compression Ignition Internal Combustion Engines</w:t>
            </w:r>
          </w:p>
        </w:tc>
        <w:tc>
          <w:tcPr>
            <w:tcW w:w="3147" w:type="dxa"/>
            <w:tcBorders>
              <w:top w:val="single" w:sz="6" w:space="0" w:color="auto"/>
              <w:left w:val="single" w:sz="12" w:space="0" w:color="auto"/>
              <w:bottom w:val="single" w:sz="4" w:space="0" w:color="auto"/>
            </w:tcBorders>
            <w:vAlign w:val="center"/>
          </w:tcPr>
          <w:p w14:paraId="5A268B3A" w14:textId="230CD78E" w:rsidR="00226C81" w:rsidRPr="00603823" w:rsidRDefault="00226C81" w:rsidP="00226C81">
            <w:pPr>
              <w:jc w:val="center"/>
            </w:pPr>
            <w:r w:rsidRPr="00603823">
              <w:rPr>
                <w:szCs w:val="22"/>
              </w:rPr>
              <w:t>022</w:t>
            </w:r>
          </w:p>
        </w:tc>
      </w:tr>
      <w:tr w:rsidR="00226C81" w14:paraId="5E117939" w14:textId="77777777" w:rsidTr="00226C81">
        <w:tc>
          <w:tcPr>
            <w:tcW w:w="6807" w:type="dxa"/>
            <w:tcBorders>
              <w:top w:val="single" w:sz="6" w:space="0" w:color="auto"/>
              <w:bottom w:val="single" w:sz="8" w:space="0" w:color="auto"/>
              <w:right w:val="single" w:sz="12" w:space="0" w:color="auto"/>
            </w:tcBorders>
            <w:vAlign w:val="center"/>
          </w:tcPr>
          <w:p w14:paraId="177D9484" w14:textId="6CFFF862" w:rsidR="00226C81" w:rsidRPr="00603823" w:rsidRDefault="00226C81" w:rsidP="00226C81">
            <w:r w:rsidRPr="00603823">
              <w:rPr>
                <w:szCs w:val="22"/>
              </w:rPr>
              <w:t xml:space="preserve">40 CFR 60, Subpart JJJJ, Standards of Performance for Stationary Spark Ignition Internal Combustion Engines </w:t>
            </w:r>
          </w:p>
        </w:tc>
        <w:tc>
          <w:tcPr>
            <w:tcW w:w="3147" w:type="dxa"/>
            <w:tcBorders>
              <w:top w:val="single" w:sz="6" w:space="0" w:color="auto"/>
              <w:left w:val="single" w:sz="12" w:space="0" w:color="auto"/>
              <w:bottom w:val="single" w:sz="4" w:space="0" w:color="auto"/>
            </w:tcBorders>
            <w:vAlign w:val="center"/>
          </w:tcPr>
          <w:p w14:paraId="47B74CFE" w14:textId="7D234968" w:rsidR="00226C81" w:rsidRPr="00603823" w:rsidRDefault="00226C81" w:rsidP="00226C81">
            <w:pPr>
              <w:jc w:val="center"/>
            </w:pPr>
            <w:r w:rsidRPr="00603823">
              <w:rPr>
                <w:szCs w:val="22"/>
              </w:rPr>
              <w:t>023, 024</w:t>
            </w:r>
            <w:r w:rsidR="00BD3919" w:rsidRPr="00603823">
              <w:rPr>
                <w:szCs w:val="22"/>
              </w:rPr>
              <w:t>, 027</w:t>
            </w:r>
          </w:p>
        </w:tc>
      </w:tr>
      <w:tr w:rsidR="00226C81" w14:paraId="0BEC9F4B" w14:textId="77777777" w:rsidTr="00226C81">
        <w:tc>
          <w:tcPr>
            <w:tcW w:w="6807" w:type="dxa"/>
            <w:tcBorders>
              <w:top w:val="single" w:sz="6" w:space="0" w:color="auto"/>
              <w:bottom w:val="single" w:sz="8" w:space="0" w:color="auto"/>
              <w:right w:val="single" w:sz="12" w:space="0" w:color="auto"/>
            </w:tcBorders>
          </w:tcPr>
          <w:p w14:paraId="5F646E73" w14:textId="316FC38D" w:rsidR="00226C81" w:rsidRPr="00603823" w:rsidRDefault="00226C81" w:rsidP="00226C81">
            <w:r w:rsidRPr="00603823">
              <w:t>40 CFR 63, Subpart A, NESHAP General Provisions</w:t>
            </w:r>
          </w:p>
        </w:tc>
        <w:tc>
          <w:tcPr>
            <w:tcW w:w="3147" w:type="dxa"/>
            <w:tcBorders>
              <w:top w:val="single" w:sz="6" w:space="0" w:color="auto"/>
              <w:left w:val="single" w:sz="12" w:space="0" w:color="auto"/>
              <w:bottom w:val="single" w:sz="4" w:space="0" w:color="auto"/>
            </w:tcBorders>
            <w:vAlign w:val="center"/>
          </w:tcPr>
          <w:p w14:paraId="2AEE1D73" w14:textId="49823087" w:rsidR="00226C81" w:rsidRPr="00603823" w:rsidRDefault="00226C81" w:rsidP="00226C81">
            <w:pPr>
              <w:jc w:val="center"/>
            </w:pPr>
            <w:r w:rsidRPr="00603823">
              <w:rPr>
                <w:szCs w:val="22"/>
              </w:rPr>
              <w:t>001, 002, 022, 023, 024, 026</w:t>
            </w:r>
            <w:r w:rsidR="00BD3919" w:rsidRPr="00603823">
              <w:rPr>
                <w:szCs w:val="22"/>
              </w:rPr>
              <w:t>, 027</w:t>
            </w:r>
          </w:p>
        </w:tc>
      </w:tr>
      <w:tr w:rsidR="00226C81" w14:paraId="2FA09683" w14:textId="77777777" w:rsidTr="00226C81">
        <w:tc>
          <w:tcPr>
            <w:tcW w:w="6807" w:type="dxa"/>
            <w:tcBorders>
              <w:top w:val="single" w:sz="6" w:space="0" w:color="auto"/>
              <w:bottom w:val="single" w:sz="8" w:space="0" w:color="auto"/>
              <w:right w:val="single" w:sz="12" w:space="0" w:color="auto"/>
            </w:tcBorders>
          </w:tcPr>
          <w:p w14:paraId="0FA7C3E9" w14:textId="7328D1C3" w:rsidR="00226C81" w:rsidRPr="00603823" w:rsidRDefault="00226C81" w:rsidP="00226C81">
            <w:r w:rsidRPr="00603823">
              <w:t xml:space="preserve">40 CFR 63, Subpart ZZZZ, NESHAP for Stationary Reciprocating Internal Combustion Engines  </w:t>
            </w:r>
          </w:p>
        </w:tc>
        <w:tc>
          <w:tcPr>
            <w:tcW w:w="3147" w:type="dxa"/>
            <w:tcBorders>
              <w:top w:val="single" w:sz="6" w:space="0" w:color="auto"/>
              <w:left w:val="single" w:sz="12" w:space="0" w:color="auto"/>
              <w:bottom w:val="single" w:sz="4" w:space="0" w:color="auto"/>
            </w:tcBorders>
            <w:vAlign w:val="center"/>
          </w:tcPr>
          <w:p w14:paraId="321375F2" w14:textId="09A8F7A7" w:rsidR="00226C81" w:rsidRPr="00603823" w:rsidRDefault="00226C81" w:rsidP="00226C81">
            <w:pPr>
              <w:jc w:val="center"/>
            </w:pPr>
            <w:r w:rsidRPr="00603823">
              <w:rPr>
                <w:szCs w:val="22"/>
              </w:rPr>
              <w:t>022, 023, 024</w:t>
            </w:r>
            <w:r w:rsidR="00BD3919" w:rsidRPr="00603823">
              <w:rPr>
                <w:szCs w:val="22"/>
              </w:rPr>
              <w:t>, 027</w:t>
            </w:r>
          </w:p>
        </w:tc>
      </w:tr>
      <w:tr w:rsidR="00226C81" w14:paraId="3A9FA711" w14:textId="77777777" w:rsidTr="00226C81">
        <w:tc>
          <w:tcPr>
            <w:tcW w:w="6807" w:type="dxa"/>
            <w:tcBorders>
              <w:top w:val="single" w:sz="6" w:space="0" w:color="auto"/>
              <w:bottom w:val="single" w:sz="8" w:space="0" w:color="auto"/>
              <w:right w:val="single" w:sz="12" w:space="0" w:color="auto"/>
            </w:tcBorders>
          </w:tcPr>
          <w:p w14:paraId="3EBAF203" w14:textId="289C137E" w:rsidR="00226C81" w:rsidRPr="00603823" w:rsidRDefault="00226C81" w:rsidP="00226C81">
            <w:r w:rsidRPr="00603823">
              <w:t>40 CR 63, Subpart DDDDD, NESHAP for Major Sources:  Industrial, Commercial, and Institutional Boilers and Process Heaters</w:t>
            </w:r>
          </w:p>
        </w:tc>
        <w:tc>
          <w:tcPr>
            <w:tcW w:w="3147" w:type="dxa"/>
            <w:tcBorders>
              <w:top w:val="single" w:sz="6" w:space="0" w:color="auto"/>
              <w:left w:val="single" w:sz="12" w:space="0" w:color="auto"/>
              <w:bottom w:val="single" w:sz="4" w:space="0" w:color="auto"/>
            </w:tcBorders>
            <w:vAlign w:val="center"/>
          </w:tcPr>
          <w:p w14:paraId="24E32F70" w14:textId="74F972F6" w:rsidR="00226C81" w:rsidRPr="00603823" w:rsidRDefault="00226C81" w:rsidP="00226C81">
            <w:pPr>
              <w:jc w:val="center"/>
            </w:pPr>
            <w:r w:rsidRPr="00603823">
              <w:rPr>
                <w:szCs w:val="22"/>
              </w:rPr>
              <w:t>026</w:t>
            </w:r>
          </w:p>
        </w:tc>
      </w:tr>
      <w:tr w:rsidR="00226C81" w14:paraId="22507158" w14:textId="77777777" w:rsidTr="00226C81">
        <w:tc>
          <w:tcPr>
            <w:tcW w:w="6807" w:type="dxa"/>
            <w:tcBorders>
              <w:top w:val="single" w:sz="6" w:space="0" w:color="auto"/>
              <w:bottom w:val="single" w:sz="8" w:space="0" w:color="auto"/>
              <w:right w:val="single" w:sz="12" w:space="0" w:color="auto"/>
            </w:tcBorders>
          </w:tcPr>
          <w:p w14:paraId="3EFACEDE" w14:textId="733D7055" w:rsidR="00226C81" w:rsidRPr="006344CB" w:rsidRDefault="00226C81" w:rsidP="00226C81">
            <w:r w:rsidRPr="006344CB">
              <w:t>40 CFR 63, Subpart UUUUU, NESHAP:  Coal- and Oil-fired Electric Utility Steam Generating Units</w:t>
            </w:r>
          </w:p>
        </w:tc>
        <w:tc>
          <w:tcPr>
            <w:tcW w:w="3147" w:type="dxa"/>
            <w:tcBorders>
              <w:top w:val="single" w:sz="6" w:space="0" w:color="auto"/>
              <w:left w:val="single" w:sz="12" w:space="0" w:color="auto"/>
              <w:bottom w:val="single" w:sz="4" w:space="0" w:color="auto"/>
            </w:tcBorders>
            <w:vAlign w:val="center"/>
          </w:tcPr>
          <w:p w14:paraId="36DEF457" w14:textId="2C61B095" w:rsidR="00226C81" w:rsidRPr="00EF1A9E" w:rsidRDefault="00226C81" w:rsidP="00226C81">
            <w:pPr>
              <w:jc w:val="center"/>
            </w:pPr>
            <w:r w:rsidRPr="00DD7EF4">
              <w:rPr>
                <w:szCs w:val="22"/>
              </w:rPr>
              <w:t>001, 002</w:t>
            </w:r>
          </w:p>
        </w:tc>
      </w:tr>
      <w:tr w:rsidR="00226C81" w14:paraId="19968504" w14:textId="77777777" w:rsidTr="00226C81">
        <w:tc>
          <w:tcPr>
            <w:tcW w:w="6807" w:type="dxa"/>
            <w:tcBorders>
              <w:top w:val="single" w:sz="6" w:space="0" w:color="auto"/>
              <w:bottom w:val="single" w:sz="8" w:space="0" w:color="auto"/>
              <w:right w:val="single" w:sz="12" w:space="0" w:color="auto"/>
            </w:tcBorders>
          </w:tcPr>
          <w:p w14:paraId="0318F83E" w14:textId="742E4896" w:rsidR="00226C81" w:rsidRPr="006344CB" w:rsidRDefault="00226C81" w:rsidP="00226C81">
            <w:r w:rsidRPr="006344CB">
              <w:t>40 CFR 64, Compliance Assurance Monitoring (CAM)</w:t>
            </w:r>
          </w:p>
        </w:tc>
        <w:tc>
          <w:tcPr>
            <w:tcW w:w="3147" w:type="dxa"/>
            <w:tcBorders>
              <w:top w:val="single" w:sz="6" w:space="0" w:color="auto"/>
              <w:left w:val="single" w:sz="12" w:space="0" w:color="auto"/>
              <w:bottom w:val="single" w:sz="4" w:space="0" w:color="auto"/>
            </w:tcBorders>
            <w:vAlign w:val="center"/>
          </w:tcPr>
          <w:p w14:paraId="6FF809A2" w14:textId="552CC947" w:rsidR="00226C81" w:rsidRPr="00EF1A9E" w:rsidRDefault="00226C81" w:rsidP="00226C81">
            <w:pPr>
              <w:jc w:val="center"/>
            </w:pPr>
            <w:r w:rsidRPr="00DD7EF4">
              <w:rPr>
                <w:szCs w:val="22"/>
              </w:rPr>
              <w:t>001, 002</w:t>
            </w:r>
          </w:p>
        </w:tc>
      </w:tr>
      <w:tr w:rsidR="00226C81" w14:paraId="137E7140" w14:textId="77777777" w:rsidTr="00226C81">
        <w:tc>
          <w:tcPr>
            <w:tcW w:w="6807" w:type="dxa"/>
            <w:tcBorders>
              <w:top w:val="single" w:sz="6" w:space="0" w:color="auto"/>
              <w:bottom w:val="single" w:sz="8" w:space="0" w:color="auto"/>
              <w:right w:val="single" w:sz="12" w:space="0" w:color="auto"/>
            </w:tcBorders>
            <w:vAlign w:val="center"/>
          </w:tcPr>
          <w:p w14:paraId="3E79A9EB" w14:textId="57236E83" w:rsidR="00226C81" w:rsidRPr="006344CB" w:rsidRDefault="00226C81" w:rsidP="00226C81">
            <w:r w:rsidRPr="006344CB">
              <w:t>40 CFR 75, Acid Rain Monitoring Provisions</w:t>
            </w:r>
          </w:p>
        </w:tc>
        <w:tc>
          <w:tcPr>
            <w:tcW w:w="3147" w:type="dxa"/>
            <w:tcBorders>
              <w:top w:val="single" w:sz="6" w:space="0" w:color="auto"/>
              <w:left w:val="single" w:sz="12" w:space="0" w:color="auto"/>
              <w:bottom w:val="single" w:sz="4" w:space="0" w:color="auto"/>
            </w:tcBorders>
            <w:vAlign w:val="center"/>
          </w:tcPr>
          <w:p w14:paraId="5C787070" w14:textId="70FC0F0C" w:rsidR="00226C81" w:rsidRPr="00EF1A9E" w:rsidRDefault="00226C81" w:rsidP="00226C81">
            <w:pPr>
              <w:jc w:val="center"/>
            </w:pPr>
            <w:r w:rsidRPr="00C16FF6">
              <w:rPr>
                <w:szCs w:val="22"/>
              </w:rPr>
              <w:t>001, 002, 003, 004, 005, 006, 011, 012, 017, 018</w:t>
            </w:r>
          </w:p>
        </w:tc>
      </w:tr>
      <w:tr w:rsidR="006344CB" w14:paraId="38C19A69" w14:textId="77777777" w:rsidTr="00C622F1">
        <w:tc>
          <w:tcPr>
            <w:tcW w:w="9954" w:type="dxa"/>
            <w:gridSpan w:val="2"/>
            <w:tcBorders>
              <w:top w:val="single" w:sz="6" w:space="0" w:color="auto"/>
              <w:bottom w:val="single" w:sz="8" w:space="0" w:color="auto"/>
            </w:tcBorders>
          </w:tcPr>
          <w:p w14:paraId="456B1997" w14:textId="77777777" w:rsidR="006344CB" w:rsidRPr="00EF1A9E" w:rsidRDefault="006344CB" w:rsidP="006344CB">
            <w:pPr>
              <w:jc w:val="center"/>
            </w:pPr>
            <w:r>
              <w:rPr>
                <w:i/>
              </w:rPr>
              <w:t>State</w:t>
            </w:r>
            <w:r w:rsidRPr="00115F13">
              <w:rPr>
                <w:i/>
              </w:rPr>
              <w:t xml:space="preserve"> Rule Citations</w:t>
            </w:r>
          </w:p>
        </w:tc>
      </w:tr>
      <w:tr w:rsidR="00B62CBD" w14:paraId="498EE712" w14:textId="77777777" w:rsidTr="00226C81">
        <w:tc>
          <w:tcPr>
            <w:tcW w:w="6807" w:type="dxa"/>
            <w:tcBorders>
              <w:top w:val="single" w:sz="8" w:space="0" w:color="auto"/>
              <w:bottom w:val="single" w:sz="8" w:space="0" w:color="auto"/>
            </w:tcBorders>
            <w:vAlign w:val="center"/>
          </w:tcPr>
          <w:p w14:paraId="764D7ED7" w14:textId="78927CC3" w:rsidR="00B62CBD" w:rsidRPr="00603823" w:rsidRDefault="00B62CBD" w:rsidP="004D2EE9">
            <w:r w:rsidRPr="00603823">
              <w:rPr>
                <w:szCs w:val="22"/>
              </w:rPr>
              <w:t>Chapter 62-4, F.A.C., Permits</w:t>
            </w:r>
          </w:p>
        </w:tc>
        <w:tc>
          <w:tcPr>
            <w:tcW w:w="3147" w:type="dxa"/>
            <w:vMerge w:val="restart"/>
            <w:tcBorders>
              <w:top w:val="single" w:sz="4" w:space="0" w:color="auto"/>
            </w:tcBorders>
            <w:vAlign w:val="center"/>
          </w:tcPr>
          <w:p w14:paraId="1607F000" w14:textId="6679D5A3" w:rsidR="00B62CBD" w:rsidRPr="00AD797E" w:rsidRDefault="00B62CBD" w:rsidP="004D2EE9">
            <w:pPr>
              <w:jc w:val="center"/>
            </w:pPr>
            <w:r w:rsidRPr="0083300F">
              <w:rPr>
                <w:szCs w:val="22"/>
              </w:rPr>
              <w:t>001, 002, 003, 004, 005, 006, 011, 012, 017, 018, 019, 026</w:t>
            </w:r>
          </w:p>
        </w:tc>
      </w:tr>
      <w:tr w:rsidR="00B62CBD" w14:paraId="3B8C06B7" w14:textId="77777777" w:rsidTr="00226C81">
        <w:tc>
          <w:tcPr>
            <w:tcW w:w="6807" w:type="dxa"/>
            <w:tcBorders>
              <w:top w:val="single" w:sz="8" w:space="0" w:color="auto"/>
              <w:bottom w:val="single" w:sz="8" w:space="0" w:color="auto"/>
            </w:tcBorders>
            <w:vAlign w:val="center"/>
          </w:tcPr>
          <w:p w14:paraId="0A438ACA" w14:textId="29BE1331" w:rsidR="00B62CBD" w:rsidRPr="00603823" w:rsidRDefault="00B62CBD" w:rsidP="004D2EE9">
            <w:r w:rsidRPr="00603823">
              <w:rPr>
                <w:szCs w:val="22"/>
              </w:rPr>
              <w:t>Rule 62-204.800, F.A.C., Federal Regulations Adopted by Reference</w:t>
            </w:r>
          </w:p>
        </w:tc>
        <w:tc>
          <w:tcPr>
            <w:tcW w:w="3147" w:type="dxa"/>
            <w:vMerge/>
          </w:tcPr>
          <w:p w14:paraId="5C30146A" w14:textId="77777777" w:rsidR="00B62CBD" w:rsidRPr="00AD797E" w:rsidRDefault="00B62CBD" w:rsidP="004D2EE9"/>
        </w:tc>
      </w:tr>
      <w:tr w:rsidR="00B62CBD" w14:paraId="6DE06692" w14:textId="77777777" w:rsidTr="00226C81">
        <w:tc>
          <w:tcPr>
            <w:tcW w:w="6807" w:type="dxa"/>
            <w:tcBorders>
              <w:top w:val="single" w:sz="8" w:space="0" w:color="auto"/>
              <w:bottom w:val="single" w:sz="8" w:space="0" w:color="auto"/>
            </w:tcBorders>
            <w:vAlign w:val="center"/>
          </w:tcPr>
          <w:p w14:paraId="05EA7D04" w14:textId="6B05AA86" w:rsidR="00B62CBD" w:rsidRPr="00603823" w:rsidRDefault="00B62CBD" w:rsidP="004D2EE9">
            <w:r w:rsidRPr="00603823">
              <w:rPr>
                <w:szCs w:val="22"/>
              </w:rPr>
              <w:t xml:space="preserve">Chapter 62-210, F.A.C., Stationary Sources – General Requirements </w:t>
            </w:r>
          </w:p>
        </w:tc>
        <w:tc>
          <w:tcPr>
            <w:tcW w:w="3147" w:type="dxa"/>
            <w:vMerge/>
          </w:tcPr>
          <w:p w14:paraId="0FCAB076" w14:textId="77777777" w:rsidR="00B62CBD" w:rsidRPr="00AD797E" w:rsidRDefault="00B62CBD" w:rsidP="004D2EE9"/>
        </w:tc>
      </w:tr>
      <w:tr w:rsidR="00DD2E0B" w14:paraId="34E82E11" w14:textId="77777777" w:rsidTr="00226C81">
        <w:tc>
          <w:tcPr>
            <w:tcW w:w="6807" w:type="dxa"/>
            <w:tcBorders>
              <w:top w:val="single" w:sz="8" w:space="0" w:color="auto"/>
              <w:bottom w:val="single" w:sz="8" w:space="0" w:color="auto"/>
            </w:tcBorders>
            <w:vAlign w:val="center"/>
          </w:tcPr>
          <w:p w14:paraId="54CBE8B9" w14:textId="70D43562" w:rsidR="00DD2E0B" w:rsidRPr="00603823" w:rsidRDefault="00DD2E0B" w:rsidP="00241433">
            <w:r w:rsidRPr="00603823">
              <w:rPr>
                <w:szCs w:val="22"/>
              </w:rPr>
              <w:t>Chapter 62-212, F.A.C.</w:t>
            </w:r>
            <w:r w:rsidR="00EB3748" w:rsidRPr="00603823">
              <w:rPr>
                <w:szCs w:val="22"/>
              </w:rPr>
              <w:t>, Stationary Sources –</w:t>
            </w:r>
            <w:r w:rsidRPr="00603823">
              <w:rPr>
                <w:szCs w:val="22"/>
              </w:rPr>
              <w:t xml:space="preserve"> Preconstruction</w:t>
            </w:r>
            <w:r w:rsidR="00EB3748" w:rsidRPr="00603823">
              <w:rPr>
                <w:szCs w:val="22"/>
              </w:rPr>
              <w:t xml:space="preserve"> </w:t>
            </w:r>
            <w:r w:rsidRPr="00603823">
              <w:rPr>
                <w:szCs w:val="22"/>
              </w:rPr>
              <w:t>Review</w:t>
            </w:r>
          </w:p>
        </w:tc>
        <w:tc>
          <w:tcPr>
            <w:tcW w:w="3147" w:type="dxa"/>
          </w:tcPr>
          <w:p w14:paraId="2DABDA73" w14:textId="439DF4EA" w:rsidR="00DD2E0B" w:rsidRPr="00603823" w:rsidRDefault="00B62CBD" w:rsidP="00241433">
            <w:r w:rsidRPr="00603823">
              <w:rPr>
                <w:szCs w:val="22"/>
              </w:rPr>
              <w:t>003, 004, 005, 006, 011, 012, 014, 017, 018, 019, 026</w:t>
            </w:r>
          </w:p>
        </w:tc>
      </w:tr>
      <w:tr w:rsidR="00DD2E0B" w14:paraId="072A3AB2" w14:textId="77777777" w:rsidTr="00226C81">
        <w:tc>
          <w:tcPr>
            <w:tcW w:w="6807" w:type="dxa"/>
            <w:tcBorders>
              <w:top w:val="single" w:sz="8" w:space="0" w:color="auto"/>
              <w:bottom w:val="single" w:sz="8" w:space="0" w:color="auto"/>
            </w:tcBorders>
            <w:vAlign w:val="center"/>
          </w:tcPr>
          <w:p w14:paraId="254A3BE3" w14:textId="4B9809D4" w:rsidR="00DD2E0B" w:rsidRDefault="00DD2E0B" w:rsidP="00DD2E0B">
            <w:r w:rsidRPr="0083300F">
              <w:rPr>
                <w:szCs w:val="22"/>
              </w:rPr>
              <w:t>Chapter 62-214, F.A.C. (</w:t>
            </w:r>
            <w:r w:rsidRPr="0083300F">
              <w:rPr>
                <w:color w:val="000000"/>
                <w:szCs w:val="22"/>
              </w:rPr>
              <w:t>Requirements For Sources Subject To The Federal Acid Rain Program)</w:t>
            </w:r>
          </w:p>
        </w:tc>
        <w:tc>
          <w:tcPr>
            <w:tcW w:w="3147" w:type="dxa"/>
            <w:tcBorders>
              <w:top w:val="single" w:sz="4" w:space="0" w:color="auto"/>
              <w:bottom w:val="single" w:sz="4" w:space="0" w:color="auto"/>
            </w:tcBorders>
            <w:vAlign w:val="center"/>
          </w:tcPr>
          <w:p w14:paraId="2BE83AF3" w14:textId="70CC27D9" w:rsidR="00DD2E0B" w:rsidRPr="00AD797E" w:rsidRDefault="00DD2E0B" w:rsidP="00DD2E0B">
            <w:pPr>
              <w:jc w:val="center"/>
            </w:pPr>
            <w:r w:rsidRPr="0083300F">
              <w:rPr>
                <w:szCs w:val="22"/>
              </w:rPr>
              <w:t>001, 002, 003, 004, 005, 006, 011, 012, 017, 018</w:t>
            </w:r>
          </w:p>
        </w:tc>
      </w:tr>
      <w:tr w:rsidR="003A3974" w14:paraId="2EC457A4" w14:textId="77777777" w:rsidTr="003A3974">
        <w:tc>
          <w:tcPr>
            <w:tcW w:w="6807" w:type="dxa"/>
            <w:tcBorders>
              <w:top w:val="single" w:sz="8" w:space="0" w:color="auto"/>
            </w:tcBorders>
            <w:vAlign w:val="center"/>
          </w:tcPr>
          <w:p w14:paraId="5CE3DC02" w14:textId="429D090A" w:rsidR="003A3974" w:rsidRPr="00603823" w:rsidRDefault="003A3974" w:rsidP="00DD2E0B">
            <w:pPr>
              <w:rPr>
                <w:szCs w:val="22"/>
              </w:rPr>
            </w:pPr>
            <w:r w:rsidRPr="00603823">
              <w:rPr>
                <w:szCs w:val="22"/>
              </w:rPr>
              <w:t>Rule 62-296.405, F.A.C., Fossil Fuel Steam Generators with More Than 250 Million Btu Per Hour Heat Input</w:t>
            </w:r>
          </w:p>
        </w:tc>
        <w:tc>
          <w:tcPr>
            <w:tcW w:w="3147" w:type="dxa"/>
            <w:vAlign w:val="center"/>
          </w:tcPr>
          <w:p w14:paraId="2C7C11D1" w14:textId="05EBBAEE" w:rsidR="003A3974" w:rsidRPr="00603823" w:rsidRDefault="003A3974" w:rsidP="003A3974">
            <w:pPr>
              <w:jc w:val="center"/>
            </w:pPr>
            <w:r w:rsidRPr="00603823">
              <w:t>001, 002</w:t>
            </w:r>
          </w:p>
        </w:tc>
      </w:tr>
      <w:tr w:rsidR="003A3974" w14:paraId="765B531C" w14:textId="77777777" w:rsidTr="003A3974">
        <w:tc>
          <w:tcPr>
            <w:tcW w:w="6807" w:type="dxa"/>
            <w:tcBorders>
              <w:top w:val="single" w:sz="8" w:space="0" w:color="auto"/>
            </w:tcBorders>
            <w:vAlign w:val="center"/>
          </w:tcPr>
          <w:p w14:paraId="17FBC878" w14:textId="3502E3E6" w:rsidR="003A3974" w:rsidRPr="00603823" w:rsidRDefault="003A3974" w:rsidP="00DD2E0B">
            <w:pPr>
              <w:rPr>
                <w:szCs w:val="22"/>
              </w:rPr>
            </w:pPr>
            <w:r w:rsidRPr="00603823">
              <w:rPr>
                <w:szCs w:val="22"/>
              </w:rPr>
              <w:t>Rule 62-296.406, F.A.C., Fossil Fuel Steam Generators with Less Than 250 Million Btu Per Hour Heat Input, New and Existing Emissions Units</w:t>
            </w:r>
          </w:p>
        </w:tc>
        <w:tc>
          <w:tcPr>
            <w:tcW w:w="3147" w:type="dxa"/>
            <w:vAlign w:val="center"/>
          </w:tcPr>
          <w:p w14:paraId="3146709F" w14:textId="0ECEF919" w:rsidR="003A3974" w:rsidRPr="00603823" w:rsidRDefault="003A3974" w:rsidP="003A3974">
            <w:pPr>
              <w:jc w:val="center"/>
            </w:pPr>
            <w:r w:rsidRPr="00603823">
              <w:t>026</w:t>
            </w:r>
          </w:p>
        </w:tc>
      </w:tr>
      <w:tr w:rsidR="00DD2E0B" w14:paraId="4EA211CA" w14:textId="77777777" w:rsidTr="003A3974">
        <w:tc>
          <w:tcPr>
            <w:tcW w:w="6807" w:type="dxa"/>
            <w:tcBorders>
              <w:top w:val="single" w:sz="8" w:space="0" w:color="auto"/>
            </w:tcBorders>
            <w:vAlign w:val="center"/>
          </w:tcPr>
          <w:p w14:paraId="62EF9F21" w14:textId="68C726A5" w:rsidR="00DD2E0B" w:rsidRPr="00603823" w:rsidRDefault="00DD2E0B" w:rsidP="00DD2E0B">
            <w:r w:rsidRPr="00603823">
              <w:rPr>
                <w:szCs w:val="22"/>
              </w:rPr>
              <w:t>Chapter 62-297, F.A.C. (Test Methods and Procedures, Continuous Monitoring Specifications, and Alternate Sampling Procedures)</w:t>
            </w:r>
          </w:p>
        </w:tc>
        <w:tc>
          <w:tcPr>
            <w:tcW w:w="3147" w:type="dxa"/>
          </w:tcPr>
          <w:p w14:paraId="1DB89E6A" w14:textId="6AB277D5" w:rsidR="00DD2E0B" w:rsidRPr="00603823" w:rsidRDefault="003A3974" w:rsidP="003A3974">
            <w:pPr>
              <w:jc w:val="center"/>
            </w:pPr>
            <w:r w:rsidRPr="00603823">
              <w:rPr>
                <w:szCs w:val="22"/>
              </w:rPr>
              <w:t>001, 002, 003, 004, 005, 006, 011, 012, 017, 018, 026</w:t>
            </w:r>
          </w:p>
        </w:tc>
      </w:tr>
      <w:bookmarkEnd w:id="11"/>
    </w:tbl>
    <w:p w14:paraId="4A3C162C" w14:textId="77777777" w:rsidR="00C01B12" w:rsidRDefault="00C01B12" w:rsidP="00C01B12">
      <w:pPr>
        <w:rPr>
          <w:b/>
          <w:caps/>
          <w:szCs w:val="22"/>
        </w:rPr>
      </w:pPr>
    </w:p>
    <w:p w14:paraId="7E2B6135" w14:textId="77777777" w:rsidR="00C01B12" w:rsidRDefault="00C01B12" w:rsidP="00C01B12">
      <w:pPr>
        <w:rPr>
          <w:b/>
          <w:caps/>
          <w:szCs w:val="22"/>
        </w:rPr>
      </w:pPr>
    </w:p>
    <w:p w14:paraId="613D3C8B" w14:textId="77777777" w:rsidR="004531FB" w:rsidRDefault="004531FB" w:rsidP="00C01B12">
      <w:pPr>
        <w:rPr>
          <w:b/>
          <w:caps/>
          <w:szCs w:val="22"/>
        </w:rPr>
        <w:sectPr w:rsidR="004531FB" w:rsidSect="000A0A5C">
          <w:headerReference w:type="even" r:id="rId22"/>
          <w:headerReference w:type="default" r:id="rId23"/>
          <w:footerReference w:type="default" r:id="rId24"/>
          <w:headerReference w:type="first" r:id="rId25"/>
          <w:pgSz w:w="12240" w:h="15840" w:code="1"/>
          <w:pgMar w:top="1080" w:right="1080" w:bottom="1080" w:left="1080" w:header="720" w:footer="720" w:gutter="0"/>
          <w:paperSrc w:first="15" w:other="15"/>
          <w:pgNumType w:start="2"/>
          <w:cols w:space="720"/>
        </w:sectPr>
      </w:pPr>
    </w:p>
    <w:p w14:paraId="054877F1" w14:textId="77777777" w:rsidR="00C01B12" w:rsidRPr="0051540D" w:rsidRDefault="00C01B12" w:rsidP="00C01B12">
      <w:pPr>
        <w:spacing w:before="120" w:after="120"/>
        <w:rPr>
          <w:b/>
        </w:rPr>
      </w:pPr>
      <w:bookmarkStart w:id="12" w:name="SectionII"/>
      <w:bookmarkEnd w:id="12"/>
      <w:r w:rsidRPr="00DB1B3A">
        <w:rPr>
          <w:b/>
        </w:rPr>
        <w:t>The following conditions apply facility-wide to all emission units and activities:</w:t>
      </w:r>
    </w:p>
    <w:p w14:paraId="482E0B0D" w14:textId="30194EED" w:rsidR="00C01B12" w:rsidRPr="0051540D" w:rsidRDefault="004642C4" w:rsidP="005B0CC1">
      <w:pPr>
        <w:numPr>
          <w:ilvl w:val="0"/>
          <w:numId w:val="1"/>
        </w:numPr>
        <w:tabs>
          <w:tab w:val="clear" w:pos="450"/>
          <w:tab w:val="left" w:pos="360"/>
          <w:tab w:val="left" w:pos="720"/>
          <w:tab w:val="left" w:pos="1080"/>
          <w:tab w:val="left" w:pos="1440"/>
        </w:tabs>
        <w:suppressAutoHyphens/>
        <w:spacing w:after="120"/>
        <w:ind w:left="360" w:hanging="360"/>
        <w:rPr>
          <w:szCs w:val="22"/>
        </w:rPr>
      </w:pPr>
      <w:r w:rsidRPr="00D805A5">
        <w:rPr>
          <w:szCs w:val="22"/>
          <w:u w:val="single"/>
        </w:rPr>
        <w:t>A</w:t>
      </w:r>
      <w:r>
        <w:rPr>
          <w:szCs w:val="22"/>
          <w:u w:val="single"/>
        </w:rPr>
        <w:t>ppendices</w:t>
      </w:r>
      <w:r w:rsidR="00C01B12" w:rsidRPr="00D805A5">
        <w:rPr>
          <w:szCs w:val="22"/>
        </w:rPr>
        <w:t xml:space="preserve">.  </w:t>
      </w:r>
      <w:r w:rsidR="00C01B12">
        <w:rPr>
          <w:szCs w:val="22"/>
        </w:rPr>
        <w:t xml:space="preserve">The permittee shall comply with all documents identified in </w:t>
      </w:r>
      <w:r w:rsidR="00C01B12" w:rsidRPr="00FF1B0E">
        <w:rPr>
          <w:szCs w:val="22"/>
        </w:rPr>
        <w:t xml:space="preserve">Section </w:t>
      </w:r>
      <w:r w:rsidR="00DD2E0B" w:rsidRPr="00FF1B0E">
        <w:rPr>
          <w:szCs w:val="22"/>
        </w:rPr>
        <w:t>V</w:t>
      </w:r>
      <w:r w:rsidR="00C01B12" w:rsidRPr="00FF1B0E">
        <w:rPr>
          <w:szCs w:val="22"/>
        </w:rPr>
        <w:t>,</w:t>
      </w:r>
      <w:r w:rsidR="00C01B12">
        <w:rPr>
          <w:szCs w:val="22"/>
        </w:rPr>
        <w:t xml:space="preserve"> </w:t>
      </w:r>
      <w:r>
        <w:rPr>
          <w:szCs w:val="22"/>
        </w:rPr>
        <w:t>Appendices</w:t>
      </w:r>
      <w:r w:rsidR="00C01B12">
        <w:rPr>
          <w:szCs w:val="22"/>
        </w:rPr>
        <w:t>,</w:t>
      </w:r>
      <w:r w:rsidR="006910A9">
        <w:rPr>
          <w:szCs w:val="22"/>
        </w:rPr>
        <w:t xml:space="preserve"> listed</w:t>
      </w:r>
      <w:r w:rsidR="00C01B12">
        <w:rPr>
          <w:szCs w:val="22"/>
        </w:rPr>
        <w:t xml:space="preserve"> in the Table of Contents.  Each document is an enforceable part of this permit unless otherwise indicated</w:t>
      </w:r>
      <w:r w:rsidR="00C01B12" w:rsidRPr="00D805A5">
        <w:rPr>
          <w:szCs w:val="22"/>
        </w:rPr>
        <w:t>.</w:t>
      </w:r>
      <w:r w:rsidR="00B25ABA">
        <w:rPr>
          <w:szCs w:val="22"/>
        </w:rPr>
        <w:t xml:space="preserve">  </w:t>
      </w:r>
      <w:r w:rsidR="00B25ABA" w:rsidRPr="004B41CD">
        <w:rPr>
          <w:szCs w:val="22"/>
        </w:rPr>
        <w:t>[Rule 62-213.440, F.A.C.]</w:t>
      </w:r>
    </w:p>
    <w:p w14:paraId="296ADBE6" w14:textId="77777777" w:rsidR="00C01B12" w:rsidRPr="00D93E62" w:rsidRDefault="00C01B12" w:rsidP="006144AF">
      <w:pPr>
        <w:tabs>
          <w:tab w:val="left" w:pos="360"/>
          <w:tab w:val="left" w:pos="720"/>
          <w:tab w:val="left" w:pos="1080"/>
          <w:tab w:val="left" w:pos="1440"/>
        </w:tabs>
        <w:spacing w:after="120"/>
        <w:ind w:left="360" w:hanging="360"/>
        <w:rPr>
          <w:b/>
          <w:u w:val="single"/>
        </w:rPr>
      </w:pPr>
      <w:r w:rsidRPr="00D93E62">
        <w:rPr>
          <w:b/>
          <w:u w:val="single"/>
        </w:rPr>
        <w:t>Emissions and Controls</w:t>
      </w:r>
    </w:p>
    <w:p w14:paraId="0382C8CC" w14:textId="77777777" w:rsidR="00C01B12" w:rsidRDefault="000F3936" w:rsidP="005B0CC1">
      <w:pPr>
        <w:numPr>
          <w:ilvl w:val="0"/>
          <w:numId w:val="1"/>
        </w:numPr>
        <w:tabs>
          <w:tab w:val="clear" w:pos="450"/>
          <w:tab w:val="left" w:pos="360"/>
          <w:tab w:val="left" w:pos="720"/>
          <w:tab w:val="left" w:pos="1080"/>
          <w:tab w:val="left" w:pos="1440"/>
        </w:tabs>
        <w:suppressAutoHyphens/>
        <w:spacing w:after="120"/>
        <w:ind w:left="360" w:hanging="360"/>
        <w:rPr>
          <w:szCs w:val="22"/>
        </w:rPr>
      </w:pPr>
      <w:r w:rsidRPr="000F3936">
        <w:rPr>
          <w:b/>
          <w:szCs w:val="22"/>
          <w:u w:val="single"/>
        </w:rPr>
        <w:t>Not federally Enforceable</w:t>
      </w:r>
      <w:r>
        <w:rPr>
          <w:b/>
          <w:szCs w:val="22"/>
          <w:u w:val="single"/>
        </w:rPr>
        <w:t>.</w:t>
      </w:r>
      <w:r w:rsidRPr="00347297">
        <w:rPr>
          <w:szCs w:val="22"/>
          <w:u w:val="single"/>
        </w:rPr>
        <w:t xml:space="preserve"> </w:t>
      </w:r>
      <w:r>
        <w:rPr>
          <w:szCs w:val="22"/>
          <w:u w:val="single"/>
        </w:rPr>
        <w:t xml:space="preserve"> </w:t>
      </w:r>
      <w:r w:rsidR="00C01B12" w:rsidRPr="00347297">
        <w:rPr>
          <w:szCs w:val="22"/>
          <w:u w:val="single"/>
        </w:rPr>
        <w:t>Objectionable Odor Prohibited</w:t>
      </w:r>
      <w:r w:rsidR="00C01B12">
        <w:rPr>
          <w:szCs w:val="22"/>
        </w:rPr>
        <w:t>.</w:t>
      </w:r>
      <w:r w:rsidR="00C01B12" w:rsidRPr="00D93E62">
        <w:rPr>
          <w:szCs w:val="22"/>
        </w:rPr>
        <w:t xml:space="preserve">  No person shall cause, suffer, allow or permit the discharge of air pollutants, which cause or contribute to an objectionable odor.  An “objectionable odor” means any odor present in the outdoor atmosphere which by itself or in combination with other odors, is or may be harmful or injurious to human health or welfare, which unreasonably interferes with the comfortable use and enjoyment of life or property, or which creates a nuisance.  [</w:t>
      </w:r>
      <w:r w:rsidR="00FB633D">
        <w:rPr>
          <w:szCs w:val="22"/>
        </w:rPr>
        <w:t>Rule</w:t>
      </w:r>
      <w:r w:rsidR="00C01B12" w:rsidRPr="00D93E62">
        <w:rPr>
          <w:szCs w:val="22"/>
        </w:rPr>
        <w:t xml:space="preserve"> 62-296.320(2) and 62-210.200(Definitions), F.A.C.]</w:t>
      </w:r>
    </w:p>
    <w:p w14:paraId="0D6E4A1F" w14:textId="2076B462" w:rsidR="00FB633D" w:rsidRDefault="00FB633D" w:rsidP="005B0CC1">
      <w:pPr>
        <w:numPr>
          <w:ilvl w:val="0"/>
          <w:numId w:val="1"/>
        </w:numPr>
        <w:tabs>
          <w:tab w:val="clear" w:pos="450"/>
          <w:tab w:val="left" w:pos="360"/>
          <w:tab w:val="left" w:pos="720"/>
          <w:tab w:val="left" w:pos="1080"/>
          <w:tab w:val="left" w:pos="1440"/>
        </w:tabs>
        <w:suppressAutoHyphens/>
        <w:spacing w:before="120"/>
        <w:ind w:left="360" w:hanging="360"/>
        <w:rPr>
          <w:szCs w:val="22"/>
        </w:rPr>
      </w:pPr>
      <w:r>
        <w:rPr>
          <w:szCs w:val="22"/>
          <w:u w:val="single"/>
        </w:rPr>
        <w:t>General Volatile Organic Compounds (VOC) Emissions or Organic Solvents (OS) Emissions</w:t>
      </w:r>
      <w:r w:rsidRPr="00D2637C">
        <w:rPr>
          <w:szCs w:val="22"/>
        </w:rPr>
        <w:t xml:space="preserve">.  </w:t>
      </w:r>
      <w:r>
        <w:rPr>
          <w:szCs w:val="22"/>
        </w:rPr>
        <w:t>The permittee shall allow no person to store, pump, handle, process, load, unload or use in any process or installation, volatile organic compounds or organic solvents without applying known and existing vapor emission control devices or systems deemed</w:t>
      </w:r>
      <w:r w:rsidRPr="00D45332">
        <w:rPr>
          <w:strike/>
          <w:szCs w:val="22"/>
        </w:rPr>
        <w:t xml:space="preserve"> </w:t>
      </w:r>
      <w:r>
        <w:rPr>
          <w:szCs w:val="22"/>
        </w:rPr>
        <w:t>necessary and ordered by the Department</w:t>
      </w:r>
      <w:r w:rsidR="00D22A3A">
        <w:rPr>
          <w:szCs w:val="22"/>
        </w:rPr>
        <w:t>.</w:t>
      </w:r>
      <w:r>
        <w:rPr>
          <w:szCs w:val="22"/>
        </w:rPr>
        <w:t xml:space="preserve">  [Rule 62-296.320(1), F.A.C.]</w:t>
      </w:r>
    </w:p>
    <w:p w14:paraId="5B1E30FF" w14:textId="77777777" w:rsidR="00D22A3A" w:rsidRPr="00613505" w:rsidRDefault="00D22A3A" w:rsidP="006144AF">
      <w:pPr>
        <w:tabs>
          <w:tab w:val="left" w:pos="360"/>
          <w:tab w:val="left" w:pos="720"/>
          <w:tab w:val="left" w:pos="1080"/>
          <w:tab w:val="left" w:pos="1440"/>
        </w:tabs>
        <w:suppressAutoHyphens/>
        <w:spacing w:before="120"/>
        <w:ind w:left="360"/>
        <w:rPr>
          <w:i/>
          <w:szCs w:val="22"/>
        </w:rPr>
      </w:pPr>
      <w:r w:rsidRPr="008710C3">
        <w:rPr>
          <w:i/>
          <w:szCs w:val="22"/>
        </w:rPr>
        <w:t>{Permitting Note:  Nothing is deemed necessary and ordered at this time.}</w:t>
      </w:r>
    </w:p>
    <w:p w14:paraId="304A8725" w14:textId="77777777" w:rsidR="00C01B12" w:rsidRDefault="00C01B12" w:rsidP="005B0CC1">
      <w:pPr>
        <w:numPr>
          <w:ilvl w:val="0"/>
          <w:numId w:val="1"/>
        </w:numPr>
        <w:tabs>
          <w:tab w:val="clear" w:pos="450"/>
          <w:tab w:val="left" w:pos="360"/>
          <w:tab w:val="left" w:pos="720"/>
          <w:tab w:val="left" w:pos="1080"/>
          <w:tab w:val="left" w:pos="1440"/>
        </w:tabs>
        <w:suppressAutoHyphens/>
        <w:spacing w:before="120"/>
        <w:ind w:left="360" w:hanging="360"/>
        <w:rPr>
          <w:szCs w:val="22"/>
        </w:rPr>
      </w:pPr>
      <w:r w:rsidRPr="00347297">
        <w:rPr>
          <w:szCs w:val="22"/>
          <w:u w:val="single"/>
        </w:rPr>
        <w:t>General Visible Emissions</w:t>
      </w:r>
      <w:r>
        <w:rPr>
          <w:szCs w:val="22"/>
        </w:rPr>
        <w:t>.</w:t>
      </w:r>
      <w:r w:rsidRPr="00D93E62">
        <w:rPr>
          <w:szCs w:val="22"/>
        </w:rPr>
        <w:t xml:space="preserve">  No person shall cause, let, permit, suffer or allow to be discharged into the atmosphere the emissions of air pollutants from any activity equal to or greater than 20% opacity.  This regulation does not impose a specific testing requirement.  [Rule 62-296.320(4</w:t>
      </w:r>
      <w:r>
        <w:rPr>
          <w:szCs w:val="22"/>
        </w:rPr>
        <w:t>)</w:t>
      </w:r>
      <w:r w:rsidR="00E16FD0">
        <w:rPr>
          <w:szCs w:val="22"/>
        </w:rPr>
        <w:t>(b)</w:t>
      </w:r>
      <w:r w:rsidRPr="00D93E62">
        <w:rPr>
          <w:szCs w:val="22"/>
        </w:rPr>
        <w:t>, F.A.C.]</w:t>
      </w:r>
    </w:p>
    <w:p w14:paraId="3E16F008" w14:textId="77777777" w:rsidR="007E6793" w:rsidRDefault="007E6793" w:rsidP="005B0CC1">
      <w:pPr>
        <w:numPr>
          <w:ilvl w:val="0"/>
          <w:numId w:val="1"/>
        </w:numPr>
        <w:tabs>
          <w:tab w:val="clear" w:pos="450"/>
          <w:tab w:val="left" w:pos="360"/>
          <w:tab w:val="left" w:pos="720"/>
          <w:tab w:val="left" w:pos="1080"/>
          <w:tab w:val="left" w:pos="1440"/>
        </w:tabs>
        <w:suppressAutoHyphens/>
        <w:spacing w:before="120"/>
        <w:ind w:left="360" w:hanging="360"/>
        <w:rPr>
          <w:szCs w:val="22"/>
        </w:rPr>
      </w:pPr>
      <w:r w:rsidRPr="007E6793">
        <w:rPr>
          <w:szCs w:val="22"/>
          <w:u w:val="single"/>
        </w:rPr>
        <w:t>Unconfined Particulate Matter</w:t>
      </w:r>
      <w:r w:rsidRPr="007E6793">
        <w:t>.</w:t>
      </w:r>
      <w:r w:rsidR="00533355">
        <w:t xml:space="preserve">  </w:t>
      </w:r>
      <w:r w:rsidR="00533355" w:rsidRPr="0049740F">
        <w:t>No person shall cause, let, permit, suffer or allow the emissions of unconfined particulate matter from any activity, including vehicular movement; transportation of materials; construction; alteration; demolition or wrecking; or industrially related activities such as loading, unloading, storing or handling; without taking reasonable precautions to prevent such emissions.</w:t>
      </w:r>
      <w:r w:rsidRPr="007E6793">
        <w:t xml:space="preserve">  Reasonable precautions to prevent emissions of unconfined particulate matter at this facility include:</w:t>
      </w:r>
    </w:p>
    <w:p w14:paraId="2A7C9293" w14:textId="77777777" w:rsidR="00792477" w:rsidRPr="00C16FF6" w:rsidRDefault="00792477" w:rsidP="00061DE9">
      <w:pPr>
        <w:numPr>
          <w:ilvl w:val="0"/>
          <w:numId w:val="43"/>
        </w:numPr>
        <w:tabs>
          <w:tab w:val="clear" w:pos="720"/>
        </w:tabs>
        <w:ind w:left="720" w:hanging="360"/>
        <w:rPr>
          <w:szCs w:val="22"/>
        </w:rPr>
      </w:pPr>
      <w:r w:rsidRPr="00C16FF6">
        <w:rPr>
          <w:szCs w:val="22"/>
        </w:rPr>
        <w:t>In order to perform sandblasting on fixed plant equipment, sandblasting enclosures shall be constructed and operated as necessary.  Thick poly flaps shall be used over doorways to prevent sandblasting material from leaving the facility.</w:t>
      </w:r>
    </w:p>
    <w:p w14:paraId="080FE939" w14:textId="77777777" w:rsidR="00792477" w:rsidRPr="00C16FF6" w:rsidRDefault="00792477" w:rsidP="00061DE9">
      <w:pPr>
        <w:numPr>
          <w:ilvl w:val="0"/>
          <w:numId w:val="43"/>
        </w:numPr>
        <w:tabs>
          <w:tab w:val="clear" w:pos="720"/>
        </w:tabs>
        <w:ind w:left="720" w:hanging="360"/>
        <w:rPr>
          <w:szCs w:val="22"/>
        </w:rPr>
      </w:pPr>
      <w:r w:rsidRPr="00C16FF6">
        <w:rPr>
          <w:szCs w:val="22"/>
        </w:rPr>
        <w:t>Maintenance of paved areas and roads shall be performed as needed.</w:t>
      </w:r>
    </w:p>
    <w:p w14:paraId="6572DEAF" w14:textId="77777777" w:rsidR="00792477" w:rsidRPr="00C16FF6" w:rsidRDefault="00792477" w:rsidP="00061DE9">
      <w:pPr>
        <w:numPr>
          <w:ilvl w:val="0"/>
          <w:numId w:val="43"/>
        </w:numPr>
        <w:tabs>
          <w:tab w:val="clear" w:pos="720"/>
        </w:tabs>
        <w:ind w:left="720" w:hanging="360"/>
        <w:rPr>
          <w:szCs w:val="22"/>
        </w:rPr>
      </w:pPr>
      <w:r w:rsidRPr="00C16FF6">
        <w:rPr>
          <w:szCs w:val="22"/>
        </w:rPr>
        <w:t>Mowing of grass and care of vegetation shall be done on a regular basis.</w:t>
      </w:r>
    </w:p>
    <w:p w14:paraId="02D5DB82" w14:textId="77777777" w:rsidR="00792477" w:rsidRPr="00C16FF6" w:rsidRDefault="00792477" w:rsidP="00061DE9">
      <w:pPr>
        <w:numPr>
          <w:ilvl w:val="0"/>
          <w:numId w:val="43"/>
        </w:numPr>
        <w:tabs>
          <w:tab w:val="clear" w:pos="720"/>
        </w:tabs>
        <w:ind w:left="720" w:hanging="360"/>
        <w:rPr>
          <w:szCs w:val="22"/>
        </w:rPr>
      </w:pPr>
      <w:r w:rsidRPr="00C16FF6">
        <w:rPr>
          <w:szCs w:val="22"/>
        </w:rPr>
        <w:t>Access to plant property by unnecessary vehicles shall be controlled and limited.  Vehicles shall be restricted to slow speeds at the plant site.</w:t>
      </w:r>
    </w:p>
    <w:p w14:paraId="6152CE56" w14:textId="77777777" w:rsidR="00792477" w:rsidRPr="00C16FF6" w:rsidRDefault="00792477" w:rsidP="00061DE9">
      <w:pPr>
        <w:numPr>
          <w:ilvl w:val="0"/>
          <w:numId w:val="43"/>
        </w:numPr>
        <w:tabs>
          <w:tab w:val="clear" w:pos="720"/>
        </w:tabs>
        <w:ind w:left="720" w:hanging="360"/>
        <w:rPr>
          <w:szCs w:val="22"/>
        </w:rPr>
      </w:pPr>
      <w:r w:rsidRPr="00C16FF6">
        <w:rPr>
          <w:szCs w:val="22"/>
        </w:rPr>
        <w:t>Bagged chemical products (e.g., soda ash, di-, tri-, and monosodium phosphate, and other chemicals as needed) shall be stored in weather tight buildings until they are used.</w:t>
      </w:r>
    </w:p>
    <w:p w14:paraId="40C2975B" w14:textId="77777777" w:rsidR="00792477" w:rsidRPr="00C16FF6" w:rsidRDefault="00792477" w:rsidP="00061DE9">
      <w:pPr>
        <w:numPr>
          <w:ilvl w:val="0"/>
          <w:numId w:val="43"/>
        </w:numPr>
        <w:tabs>
          <w:tab w:val="clear" w:pos="720"/>
        </w:tabs>
        <w:ind w:left="720" w:hanging="360"/>
        <w:rPr>
          <w:szCs w:val="22"/>
        </w:rPr>
      </w:pPr>
      <w:r w:rsidRPr="00C16FF6">
        <w:rPr>
          <w:szCs w:val="22"/>
        </w:rPr>
        <w:t>Spills of powdered chemical products shall be cleaned up as soon as practical.</w:t>
      </w:r>
    </w:p>
    <w:p w14:paraId="12026529" w14:textId="0B02FA67" w:rsidR="00E87E61" w:rsidRPr="000A0495" w:rsidRDefault="007E6793" w:rsidP="007C1680">
      <w:pPr>
        <w:tabs>
          <w:tab w:val="left" w:pos="360"/>
          <w:tab w:val="left" w:pos="720"/>
          <w:tab w:val="left" w:pos="1080"/>
          <w:tab w:val="left" w:pos="1440"/>
        </w:tabs>
        <w:spacing w:after="120"/>
        <w:ind w:left="360" w:hanging="360"/>
      </w:pPr>
      <w:r w:rsidRPr="000A0495">
        <w:tab/>
      </w:r>
      <w:r w:rsidR="00E87E61" w:rsidRPr="000A0495">
        <w:t xml:space="preserve">[Rule 62-296.320(4)(c), F.A.C.; and, proposed by applicant in Title V air operation permit renewal application </w:t>
      </w:r>
      <w:r w:rsidR="00E87E61" w:rsidRPr="00792477">
        <w:t xml:space="preserve">received </w:t>
      </w:r>
      <w:r w:rsidR="00792477" w:rsidRPr="00792477">
        <w:t>May 21, 2018</w:t>
      </w:r>
      <w:r w:rsidR="00E87E61" w:rsidRPr="00792477">
        <w:t>.</w:t>
      </w:r>
      <w:r w:rsidR="00E87E61" w:rsidRPr="000A0495">
        <w:t>]</w:t>
      </w:r>
    </w:p>
    <w:p w14:paraId="00EF9690" w14:textId="38CCF6EE" w:rsidR="003D1146" w:rsidRDefault="00C01B12" w:rsidP="006144AF">
      <w:pPr>
        <w:tabs>
          <w:tab w:val="left" w:pos="360"/>
          <w:tab w:val="left" w:pos="720"/>
          <w:tab w:val="left" w:pos="1080"/>
          <w:tab w:val="left" w:pos="1440"/>
        </w:tabs>
        <w:spacing w:before="120"/>
        <w:ind w:left="360" w:hanging="360"/>
      </w:pPr>
      <w:r>
        <w:rPr>
          <w:b/>
          <w:u w:val="single"/>
        </w:rPr>
        <w:t>Reports and Fees</w:t>
      </w:r>
    </w:p>
    <w:p w14:paraId="026FBC6D" w14:textId="77777777" w:rsidR="00C01B12" w:rsidRPr="00D93E62" w:rsidRDefault="002E7F87" w:rsidP="006144AF">
      <w:pPr>
        <w:tabs>
          <w:tab w:val="left" w:pos="360"/>
          <w:tab w:val="left" w:pos="720"/>
          <w:tab w:val="left" w:pos="1080"/>
          <w:tab w:val="left" w:pos="1440"/>
        </w:tabs>
        <w:spacing w:before="120"/>
        <w:ind w:left="360" w:hanging="360"/>
        <w:rPr>
          <w:b/>
          <w:u w:val="single"/>
        </w:rPr>
      </w:pPr>
      <w:r w:rsidRPr="003D1146">
        <w:t>See Appendix RR</w:t>
      </w:r>
      <w:r w:rsidR="003D1146" w:rsidRPr="003D1146">
        <w:t xml:space="preserve">, Facility-wide Reporting </w:t>
      </w:r>
      <w:r w:rsidR="004642C4" w:rsidRPr="003D1146">
        <w:t>Requirements</w:t>
      </w:r>
      <w:r w:rsidR="00240650">
        <w:t>,</w:t>
      </w:r>
      <w:r w:rsidR="003D1146">
        <w:t xml:space="preserve"> for additional details</w:t>
      </w:r>
      <w:r w:rsidR="00240650">
        <w:t xml:space="preserve"> and requirements</w:t>
      </w:r>
      <w:r w:rsidR="003D1146">
        <w:t>.</w:t>
      </w:r>
    </w:p>
    <w:p w14:paraId="139C5839" w14:textId="157F15DC" w:rsidR="00C01B12" w:rsidRDefault="00BF788C" w:rsidP="00492797">
      <w:pPr>
        <w:numPr>
          <w:ilvl w:val="0"/>
          <w:numId w:val="1"/>
        </w:numPr>
        <w:tabs>
          <w:tab w:val="clear" w:pos="450"/>
          <w:tab w:val="left" w:pos="360"/>
          <w:tab w:val="left" w:pos="720"/>
          <w:tab w:val="left" w:pos="1080"/>
          <w:tab w:val="left" w:pos="1440"/>
        </w:tabs>
        <w:suppressAutoHyphens/>
        <w:spacing w:before="120"/>
        <w:ind w:left="360" w:hanging="360"/>
        <w:rPr>
          <w:szCs w:val="22"/>
        </w:rPr>
      </w:pPr>
      <w:r w:rsidRPr="00BF788C">
        <w:rPr>
          <w:bCs/>
          <w:szCs w:val="22"/>
          <w:u w:val="single"/>
        </w:rPr>
        <w:t>Electronic Annual Operating Report and Title V Annual Emissions Fees</w:t>
      </w:r>
      <w:r w:rsidRPr="00BF788C">
        <w:rPr>
          <w:bCs/>
          <w:szCs w:val="22"/>
        </w:rPr>
        <w:t>.</w:t>
      </w:r>
      <w:r>
        <w:rPr>
          <w:bCs/>
          <w:szCs w:val="22"/>
        </w:rPr>
        <w:t xml:space="preserve">  </w:t>
      </w:r>
      <w:r w:rsidRPr="00BF788C">
        <w:rPr>
          <w:bCs/>
          <w:szCs w:val="22"/>
        </w:rPr>
        <w:t>The information required by the Annual Operating Report for Air Pollutant Emitting Facility [Including Title V Source Emissions Fee Calculation] (DEP Form No. 62-210.900(5)) shall be submitted by April 1 of each year, for the previous calendar year, to the Department of Environmental Protection</w:t>
      </w:r>
      <w:r>
        <w:rPr>
          <w:bCs/>
          <w:szCs w:val="22"/>
        </w:rPr>
        <w:t>’s</w:t>
      </w:r>
      <w:r w:rsidRPr="00BF788C">
        <w:rPr>
          <w:bCs/>
          <w:szCs w:val="22"/>
        </w:rPr>
        <w:t xml:space="preserve"> Division of Air Resource Management. </w:t>
      </w:r>
      <w:r>
        <w:rPr>
          <w:bCs/>
          <w:szCs w:val="22"/>
        </w:rPr>
        <w:t xml:space="preserve"> </w:t>
      </w:r>
      <w:r w:rsidRPr="00BF788C">
        <w:rPr>
          <w:bCs/>
          <w:szCs w:val="22"/>
        </w:rPr>
        <w:t xml:space="preserve">Each Title V source shall submit the annual operating report using the DEP’s Electronic Annual Operating Report (EAOR) software, unless the Title V source claims a technical or financial hardship by submitting DEP Form No. 62-210.900(5) to the DEP Division of Air Resource Management instead of using the reporting software. Emissions shall be computed in accordance with the provisions of subsection 62-210.370(2), F.A.C. </w:t>
      </w:r>
      <w:r>
        <w:rPr>
          <w:bCs/>
          <w:szCs w:val="22"/>
        </w:rPr>
        <w:t xml:space="preserve"> </w:t>
      </w:r>
      <w:r w:rsidRPr="00BF788C">
        <w:rPr>
          <w:bCs/>
          <w:szCs w:val="22"/>
        </w:rPr>
        <w:t xml:space="preserve">Each Title V source must pay between January 15 and April 1 of each year an annual emissions fee in an amount determined as set forth in subsection 62-213.205(1), F.A.C. </w:t>
      </w:r>
      <w:r>
        <w:rPr>
          <w:bCs/>
          <w:szCs w:val="22"/>
        </w:rPr>
        <w:t xml:space="preserve"> </w:t>
      </w:r>
      <w:r w:rsidRPr="00BF788C">
        <w:rPr>
          <w:bCs/>
          <w:szCs w:val="22"/>
        </w:rPr>
        <w:t xml:space="preserve">The annual fee shall only apply to those regulated pollutants, except carbon monoxide and greenhouse gases, for which an allowable numeric emission-limiting standard is specified in the source’s most recent construction permit or operation permit. </w:t>
      </w:r>
      <w:r>
        <w:rPr>
          <w:bCs/>
          <w:szCs w:val="22"/>
        </w:rPr>
        <w:t xml:space="preserve"> </w:t>
      </w:r>
      <w:r w:rsidRPr="00BF788C">
        <w:rPr>
          <w:bCs/>
          <w:szCs w:val="22"/>
        </w:rPr>
        <w:t>Upon completing the required EAOR entries, the EAOR Title V Fee Invoice can be printed by the source showing which of the reported emissions are subject to the fee and the total Title V Annual Emissions Fee that is due.</w:t>
      </w:r>
      <w:r>
        <w:rPr>
          <w:bCs/>
          <w:szCs w:val="22"/>
        </w:rPr>
        <w:t xml:space="preserve">  </w:t>
      </w:r>
      <w:r w:rsidRPr="00BF788C">
        <w:rPr>
          <w:bCs/>
          <w:szCs w:val="22"/>
        </w:rPr>
        <w:t>The submission of the annual Title V emissions fee payment is also due (postmarked) by April 1</w:t>
      </w:r>
      <w:r w:rsidRPr="00BF788C">
        <w:rPr>
          <w:bCs/>
          <w:szCs w:val="22"/>
          <w:vertAlign w:val="superscript"/>
        </w:rPr>
        <w:t>st</w:t>
      </w:r>
      <w:r w:rsidRPr="00BF788C">
        <w:rPr>
          <w:bCs/>
          <w:szCs w:val="22"/>
        </w:rPr>
        <w:t xml:space="preserve"> of each year.</w:t>
      </w:r>
      <w:r>
        <w:rPr>
          <w:bCs/>
          <w:szCs w:val="22"/>
        </w:rPr>
        <w:t xml:space="preserve">  </w:t>
      </w:r>
      <w:r w:rsidRPr="00BF788C">
        <w:rPr>
          <w:bCs/>
          <w:szCs w:val="22"/>
        </w:rPr>
        <w:t xml:space="preserve">A copy of the system-generated EAOR Title V </w:t>
      </w:r>
      <w:r w:rsidR="005F029C">
        <w:rPr>
          <w:bCs/>
          <w:szCs w:val="22"/>
        </w:rPr>
        <w:t xml:space="preserve">Annual </w:t>
      </w:r>
      <w:r w:rsidRPr="00BF788C">
        <w:rPr>
          <w:bCs/>
          <w:szCs w:val="22"/>
        </w:rPr>
        <w:t>Emissions Fee Invoice and the indicated total fee shall be submitted to:</w:t>
      </w:r>
      <w:r>
        <w:rPr>
          <w:bCs/>
          <w:szCs w:val="22"/>
        </w:rPr>
        <w:t xml:space="preserve">  </w:t>
      </w:r>
      <w:r w:rsidRPr="00BF788C">
        <w:rPr>
          <w:b/>
          <w:bCs/>
          <w:szCs w:val="22"/>
        </w:rPr>
        <w:t>Major Air Pollution Source Annual Emissions Fee, P.O. Box 3070, Tallahassee, Florida  32315-3070.</w:t>
      </w:r>
      <w:r>
        <w:rPr>
          <w:bCs/>
          <w:szCs w:val="22"/>
        </w:rPr>
        <w:t xml:space="preserve"> </w:t>
      </w:r>
      <w:r w:rsidRPr="00BF788C">
        <w:rPr>
          <w:bCs/>
          <w:szCs w:val="22"/>
        </w:rPr>
        <w:t xml:space="preserve"> Additional information is available by accessing the Title V Annual Emissions Fee On-line Information Center at the following Internet web site:</w:t>
      </w:r>
      <w:r>
        <w:rPr>
          <w:bCs/>
          <w:szCs w:val="22"/>
        </w:rPr>
        <w:t xml:space="preserve"> </w:t>
      </w:r>
      <w:r w:rsidRPr="00BF788C">
        <w:rPr>
          <w:bCs/>
          <w:szCs w:val="22"/>
        </w:rPr>
        <w:t xml:space="preserve"> </w:t>
      </w:r>
      <w:hyperlink r:id="rId26" w:history="1">
        <w:r w:rsidR="00E6223B" w:rsidRPr="00866D1B">
          <w:rPr>
            <w:rStyle w:val="Hyperlink"/>
            <w:szCs w:val="22"/>
          </w:rPr>
          <w:t>https://floridadep.gov/air/permitting-compliance/content/title-v-fees</w:t>
        </w:r>
      </w:hyperlink>
      <w:r w:rsidRPr="00BF788C">
        <w:rPr>
          <w:bCs/>
          <w:szCs w:val="22"/>
        </w:rPr>
        <w:t>.</w:t>
      </w:r>
      <w:r>
        <w:rPr>
          <w:bCs/>
          <w:szCs w:val="22"/>
        </w:rPr>
        <w:t xml:space="preserve"> </w:t>
      </w:r>
      <w:r w:rsidRPr="00BF788C">
        <w:rPr>
          <w:bCs/>
          <w:szCs w:val="22"/>
        </w:rPr>
        <w:t xml:space="preserve"> [Rules 62-210.370(3), 62-210.900 &amp; 62-213.205, F.A.C.; and</w:t>
      </w:r>
      <w:r>
        <w:rPr>
          <w:bCs/>
          <w:szCs w:val="22"/>
        </w:rPr>
        <w:t>,</w:t>
      </w:r>
      <w:r w:rsidRPr="00BF788C">
        <w:rPr>
          <w:bCs/>
          <w:szCs w:val="22"/>
        </w:rPr>
        <w:t xml:space="preserve"> §403.0872(11), Florida Statutes (2013)]</w:t>
      </w:r>
    </w:p>
    <w:p w14:paraId="6FF151A4" w14:textId="224380DF" w:rsidR="00BF788C" w:rsidRPr="00BF788C" w:rsidRDefault="00BF788C" w:rsidP="006144AF">
      <w:pPr>
        <w:tabs>
          <w:tab w:val="left" w:pos="360"/>
          <w:tab w:val="left" w:pos="720"/>
          <w:tab w:val="left" w:pos="1080"/>
          <w:tab w:val="left" w:pos="1440"/>
        </w:tabs>
        <w:suppressAutoHyphens/>
        <w:spacing w:before="120"/>
        <w:ind w:left="360"/>
        <w:rPr>
          <w:bCs/>
          <w:i/>
          <w:iCs/>
          <w:szCs w:val="22"/>
        </w:rPr>
      </w:pPr>
      <w:r w:rsidRPr="00BF788C">
        <w:rPr>
          <w:bCs/>
          <w:i/>
          <w:iCs/>
          <w:szCs w:val="22"/>
        </w:rPr>
        <w:t>{Permitting Note:  Resources to help you complete your AOR are available on the electronic AOR (EAOR) website at:</w:t>
      </w:r>
      <w:r>
        <w:rPr>
          <w:bCs/>
          <w:i/>
          <w:iCs/>
          <w:szCs w:val="22"/>
        </w:rPr>
        <w:t xml:space="preserve"> </w:t>
      </w:r>
      <w:r w:rsidRPr="00BF788C">
        <w:rPr>
          <w:bCs/>
          <w:i/>
          <w:iCs/>
          <w:szCs w:val="22"/>
        </w:rPr>
        <w:t xml:space="preserve"> </w:t>
      </w:r>
      <w:hyperlink r:id="rId27" w:history="1">
        <w:r w:rsidRPr="00BF788C">
          <w:rPr>
            <w:rStyle w:val="Hyperlink"/>
            <w:bCs/>
            <w:i/>
            <w:iCs/>
            <w:szCs w:val="22"/>
          </w:rPr>
          <w:t>http://www.dep.state.fl.us/air/emission/eaor</w:t>
        </w:r>
      </w:hyperlink>
      <w:r>
        <w:rPr>
          <w:bCs/>
          <w:i/>
          <w:iCs/>
          <w:szCs w:val="22"/>
        </w:rPr>
        <w:t xml:space="preserve">.  </w:t>
      </w:r>
      <w:r w:rsidRPr="00BF788C">
        <w:rPr>
          <w:bCs/>
          <w:i/>
          <w:iCs/>
          <w:szCs w:val="22"/>
        </w:rPr>
        <w:t xml:space="preserve">If you have questions or need assistance after reviewing the information posted on the EAOR website, please contact the Department by phone at (850) 717-9000 or email at </w:t>
      </w:r>
      <w:hyperlink r:id="rId28" w:history="1">
        <w:r w:rsidRPr="00BF788C">
          <w:rPr>
            <w:rStyle w:val="Hyperlink"/>
            <w:bCs/>
            <w:i/>
            <w:iCs/>
            <w:szCs w:val="22"/>
          </w:rPr>
          <w:t>eaor@dep.state.fl.us</w:t>
        </w:r>
      </w:hyperlink>
      <w:r w:rsidRPr="00BF788C">
        <w:rPr>
          <w:bCs/>
          <w:i/>
          <w:iCs/>
          <w:szCs w:val="22"/>
        </w:rPr>
        <w:t>.}</w:t>
      </w:r>
    </w:p>
    <w:p w14:paraId="17D5E459" w14:textId="77777777" w:rsidR="00BF788C" w:rsidRPr="00BF788C" w:rsidRDefault="00BF788C" w:rsidP="006144AF">
      <w:pPr>
        <w:tabs>
          <w:tab w:val="left" w:pos="360"/>
          <w:tab w:val="left" w:pos="720"/>
          <w:tab w:val="left" w:pos="1080"/>
          <w:tab w:val="left" w:pos="1440"/>
        </w:tabs>
        <w:suppressAutoHyphens/>
        <w:spacing w:before="120"/>
        <w:ind w:left="360"/>
        <w:rPr>
          <w:bCs/>
          <w:i/>
          <w:iCs/>
          <w:szCs w:val="22"/>
        </w:rPr>
      </w:pPr>
      <w:r w:rsidRPr="00BF788C">
        <w:rPr>
          <w:bCs/>
          <w:i/>
          <w:iCs/>
          <w:szCs w:val="22"/>
        </w:rPr>
        <w:t xml:space="preserve">{Permitting Note:  The Title V Annual Emissions Fee form (DEP Form No. 62-213.900(1)) has been repealed. </w:t>
      </w:r>
      <w:r>
        <w:rPr>
          <w:bCs/>
          <w:i/>
          <w:iCs/>
          <w:szCs w:val="22"/>
        </w:rPr>
        <w:t xml:space="preserve"> </w:t>
      </w:r>
      <w:r w:rsidRPr="00BF788C">
        <w:rPr>
          <w:b/>
          <w:bCs/>
          <w:i/>
          <w:iCs/>
          <w:szCs w:val="22"/>
        </w:rPr>
        <w:t>A separate Annual Emissions Fee form is no longer required to be submitted by March 1st each year.</w:t>
      </w:r>
      <w:r w:rsidRPr="00BF788C">
        <w:rPr>
          <w:bCs/>
          <w:i/>
          <w:iCs/>
          <w:szCs w:val="22"/>
        </w:rPr>
        <w:t>}</w:t>
      </w:r>
    </w:p>
    <w:p w14:paraId="03A5EB73" w14:textId="77777777" w:rsidR="002405F4" w:rsidRPr="003F3CD7" w:rsidRDefault="00085EC1" w:rsidP="005B0CC1">
      <w:pPr>
        <w:numPr>
          <w:ilvl w:val="0"/>
          <w:numId w:val="1"/>
        </w:numPr>
        <w:tabs>
          <w:tab w:val="clear" w:pos="450"/>
          <w:tab w:val="left" w:pos="360"/>
          <w:tab w:val="left" w:pos="720"/>
          <w:tab w:val="left" w:pos="1080"/>
          <w:tab w:val="left" w:pos="1440"/>
        </w:tabs>
        <w:suppressAutoHyphens/>
        <w:spacing w:before="120"/>
        <w:ind w:left="360" w:hanging="360"/>
        <w:rPr>
          <w:szCs w:val="22"/>
        </w:rPr>
      </w:pPr>
      <w:r w:rsidRPr="0078478E">
        <w:rPr>
          <w:szCs w:val="16"/>
          <w:u w:val="single"/>
        </w:rPr>
        <w:t>Annual Statement of Compliance</w:t>
      </w:r>
      <w:r w:rsidRPr="0078478E">
        <w:rPr>
          <w:szCs w:val="16"/>
        </w:rPr>
        <w:t>.</w:t>
      </w:r>
      <w:r w:rsidR="002E7F87">
        <w:rPr>
          <w:szCs w:val="16"/>
        </w:rPr>
        <w:t xml:space="preserve">  </w:t>
      </w:r>
      <w:r w:rsidR="002E7F87" w:rsidRPr="00D93E62">
        <w:rPr>
          <w:szCs w:val="22"/>
        </w:rPr>
        <w:t>The permittee shall submit an annual</w:t>
      </w:r>
      <w:r w:rsidR="002E7F87">
        <w:rPr>
          <w:szCs w:val="22"/>
        </w:rPr>
        <w:t xml:space="preserve"> statement of compliance to the compliance authority at the address shown on the cover of this permit </w:t>
      </w:r>
      <w:r w:rsidR="00822CC8">
        <w:rPr>
          <w:szCs w:val="22"/>
        </w:rPr>
        <w:t>and to the US.</w:t>
      </w:r>
      <w:r w:rsidR="003F3CD7">
        <w:rPr>
          <w:szCs w:val="22"/>
        </w:rPr>
        <w:t xml:space="preserve"> </w:t>
      </w:r>
      <w:r w:rsidR="00822CC8">
        <w:rPr>
          <w:szCs w:val="22"/>
        </w:rPr>
        <w:t>EPA</w:t>
      </w:r>
      <w:r w:rsidR="003F3CD7">
        <w:rPr>
          <w:szCs w:val="22"/>
        </w:rPr>
        <w:t xml:space="preserve"> at the address shown below</w:t>
      </w:r>
      <w:r w:rsidR="00822CC8">
        <w:rPr>
          <w:szCs w:val="22"/>
        </w:rPr>
        <w:t xml:space="preserve"> </w:t>
      </w:r>
      <w:r w:rsidR="002E7F87" w:rsidRPr="0078478E">
        <w:rPr>
          <w:szCs w:val="16"/>
        </w:rPr>
        <w:t xml:space="preserve">within 60 days after the end of each calendar year during which the Title V </w:t>
      </w:r>
      <w:r w:rsidR="003F3CD7">
        <w:rPr>
          <w:szCs w:val="16"/>
        </w:rPr>
        <w:t xml:space="preserve">air operation </w:t>
      </w:r>
      <w:r w:rsidR="002E7F87" w:rsidRPr="0078478E">
        <w:rPr>
          <w:szCs w:val="16"/>
        </w:rPr>
        <w:t>permit was effective</w:t>
      </w:r>
      <w:r w:rsidR="002E7F87">
        <w:rPr>
          <w:szCs w:val="16"/>
        </w:rPr>
        <w:t>.</w:t>
      </w:r>
      <w:r w:rsidR="0044253A">
        <w:rPr>
          <w:szCs w:val="16"/>
        </w:rPr>
        <w:t xml:space="preserve">  (See also Appendix RR, Conditions RR1 and RR7.)</w:t>
      </w:r>
      <w:r w:rsidR="002E7F87">
        <w:t xml:space="preserve">  </w:t>
      </w:r>
      <w:r w:rsidR="002E7F87" w:rsidRPr="0078478E">
        <w:t>[Rules 62-213.440(3)(a)2. &amp; 3. and (b), F.A.C.]</w:t>
      </w:r>
    </w:p>
    <w:p w14:paraId="0F464856" w14:textId="77777777" w:rsidR="003F3CD7" w:rsidRDefault="003F3CD7" w:rsidP="003F3CD7">
      <w:pPr>
        <w:tabs>
          <w:tab w:val="left" w:pos="360"/>
          <w:tab w:val="left" w:pos="720"/>
          <w:tab w:val="left" w:pos="1080"/>
          <w:tab w:val="left" w:pos="1440"/>
        </w:tabs>
        <w:suppressAutoHyphens/>
        <w:jc w:val="center"/>
        <w:rPr>
          <w:szCs w:val="22"/>
        </w:rPr>
      </w:pPr>
      <w:r>
        <w:rPr>
          <w:szCs w:val="22"/>
        </w:rPr>
        <w:t>U.S. Environmental Protection Agency, Region 4</w:t>
      </w:r>
    </w:p>
    <w:p w14:paraId="1651CF81" w14:textId="77777777" w:rsidR="003F3CD7" w:rsidRDefault="003F3CD7" w:rsidP="003F3CD7">
      <w:pPr>
        <w:tabs>
          <w:tab w:val="left" w:pos="360"/>
          <w:tab w:val="left" w:pos="720"/>
          <w:tab w:val="left" w:pos="1080"/>
          <w:tab w:val="left" w:pos="1440"/>
        </w:tabs>
        <w:suppressAutoHyphens/>
        <w:jc w:val="center"/>
        <w:rPr>
          <w:szCs w:val="22"/>
        </w:rPr>
      </w:pPr>
      <w:r>
        <w:rPr>
          <w:szCs w:val="22"/>
        </w:rPr>
        <w:t>Atlanta Federal Center</w:t>
      </w:r>
    </w:p>
    <w:p w14:paraId="5B924D8C" w14:textId="77777777" w:rsidR="003F3CD7" w:rsidRDefault="003F3CD7" w:rsidP="003F3CD7">
      <w:pPr>
        <w:tabs>
          <w:tab w:val="left" w:pos="360"/>
          <w:tab w:val="left" w:pos="720"/>
          <w:tab w:val="left" w:pos="1080"/>
          <w:tab w:val="left" w:pos="1440"/>
        </w:tabs>
        <w:suppressAutoHyphens/>
        <w:jc w:val="center"/>
        <w:rPr>
          <w:szCs w:val="22"/>
        </w:rPr>
      </w:pPr>
      <w:r>
        <w:rPr>
          <w:szCs w:val="22"/>
        </w:rPr>
        <w:t>61 Forsyth Street, SW</w:t>
      </w:r>
    </w:p>
    <w:p w14:paraId="16B5CADB" w14:textId="77777777" w:rsidR="003F3CD7" w:rsidRDefault="003F3CD7" w:rsidP="003F3CD7">
      <w:pPr>
        <w:tabs>
          <w:tab w:val="left" w:pos="360"/>
          <w:tab w:val="left" w:pos="720"/>
          <w:tab w:val="left" w:pos="1080"/>
          <w:tab w:val="left" w:pos="1440"/>
        </w:tabs>
        <w:suppressAutoHyphens/>
        <w:jc w:val="center"/>
        <w:rPr>
          <w:szCs w:val="22"/>
        </w:rPr>
      </w:pPr>
      <w:r>
        <w:rPr>
          <w:szCs w:val="22"/>
        </w:rPr>
        <w:t>Atlanta, Georgia  30303</w:t>
      </w:r>
    </w:p>
    <w:p w14:paraId="5733E29D" w14:textId="77777777" w:rsidR="003F3CD7" w:rsidRPr="00B47D51" w:rsidRDefault="003F3CD7" w:rsidP="006144AF">
      <w:pPr>
        <w:tabs>
          <w:tab w:val="left" w:pos="360"/>
          <w:tab w:val="left" w:pos="720"/>
          <w:tab w:val="left" w:pos="1080"/>
          <w:tab w:val="left" w:pos="1440"/>
        </w:tabs>
        <w:suppressAutoHyphens/>
        <w:jc w:val="center"/>
        <w:rPr>
          <w:szCs w:val="22"/>
        </w:rPr>
      </w:pPr>
      <w:r>
        <w:rPr>
          <w:szCs w:val="22"/>
        </w:rPr>
        <w:t>Attn:  Air Enforcement Branch</w:t>
      </w:r>
    </w:p>
    <w:p w14:paraId="7C897D91" w14:textId="77777777" w:rsidR="00B47D51" w:rsidRPr="00DD2E0B" w:rsidRDefault="00B47D51" w:rsidP="005B0CC1">
      <w:pPr>
        <w:numPr>
          <w:ilvl w:val="0"/>
          <w:numId w:val="1"/>
        </w:numPr>
        <w:tabs>
          <w:tab w:val="clear" w:pos="450"/>
          <w:tab w:val="left" w:pos="360"/>
          <w:tab w:val="left" w:pos="720"/>
          <w:tab w:val="left" w:pos="1080"/>
          <w:tab w:val="left" w:pos="1440"/>
        </w:tabs>
        <w:spacing w:before="120"/>
        <w:ind w:left="360" w:hanging="360"/>
        <w:rPr>
          <w:szCs w:val="22"/>
        </w:rPr>
      </w:pPr>
      <w:bookmarkStart w:id="13" w:name="_Ref512844419"/>
      <w:r w:rsidRPr="00DD2E0B">
        <w:rPr>
          <w:u w:val="single"/>
        </w:rPr>
        <w:t>Prevention of Accidental Releases (Section 112(r) of CAA)</w:t>
      </w:r>
      <w:r w:rsidRPr="00DD2E0B">
        <w:t>.</w:t>
      </w:r>
      <w:bookmarkEnd w:id="13"/>
    </w:p>
    <w:p w14:paraId="41A33064" w14:textId="77777777" w:rsidR="00B47D51" w:rsidRPr="00DD2E0B" w:rsidRDefault="00B47D51" w:rsidP="007C1680">
      <w:pPr>
        <w:tabs>
          <w:tab w:val="left" w:pos="360"/>
          <w:tab w:val="left" w:pos="720"/>
          <w:tab w:val="left" w:pos="1080"/>
          <w:tab w:val="left" w:pos="1440"/>
        </w:tabs>
        <w:ind w:left="720" w:hanging="720"/>
        <w:rPr>
          <w:b/>
        </w:rPr>
      </w:pPr>
      <w:r w:rsidRPr="00DD2E0B">
        <w:rPr>
          <w:bCs/>
        </w:rPr>
        <w:tab/>
        <w:t>a.</w:t>
      </w:r>
      <w:r w:rsidRPr="00DD2E0B">
        <w:tab/>
      </w:r>
      <w:r w:rsidRPr="00DD2E0B">
        <w:rPr>
          <w:color w:val="000000"/>
        </w:rPr>
        <w:t>As required by Section 112(r)(7)(B)(iii) of the CAA and 40 CFR 68, the owner or operator shall</w:t>
      </w:r>
      <w:r w:rsidRPr="00DD2E0B">
        <w:t xml:space="preserve"> submit an updated Risk Management Plan (RMP) to the Chemical Emergency Preparedness and Prevention Office (CEPPO) RMP Reporting Center. </w:t>
      </w:r>
      <w:r w:rsidR="00B12A3B" w:rsidRPr="00DD2E0B">
        <w:t xml:space="preserve"> (See paragraph e., below.)</w:t>
      </w:r>
    </w:p>
    <w:p w14:paraId="2C844AF7" w14:textId="77777777" w:rsidR="00B47D51" w:rsidRPr="00DD2E0B" w:rsidRDefault="00B47D51" w:rsidP="007C1680">
      <w:pPr>
        <w:tabs>
          <w:tab w:val="left" w:pos="360"/>
          <w:tab w:val="left" w:pos="720"/>
          <w:tab w:val="left" w:pos="1080"/>
          <w:tab w:val="left" w:pos="1440"/>
        </w:tabs>
        <w:ind w:left="720" w:hanging="720"/>
        <w:rPr>
          <w:bCs/>
        </w:rPr>
      </w:pPr>
      <w:r w:rsidRPr="00DD2E0B">
        <w:rPr>
          <w:bCs/>
        </w:rPr>
        <w:tab/>
        <w:t>b.</w:t>
      </w:r>
      <w:r w:rsidRPr="00DD2E0B">
        <w:rPr>
          <w:bCs/>
        </w:rPr>
        <w:tab/>
        <w:t xml:space="preserve">As required under Section 252.941(1)(c), F.S., the owner or operator shall report to the appropriate representative of the </w:t>
      </w:r>
      <w:r w:rsidR="00B12A3B" w:rsidRPr="00DD2E0B">
        <w:rPr>
          <w:bCs/>
        </w:rPr>
        <w:t>Division of Emergency Management</w:t>
      </w:r>
      <w:r w:rsidRPr="00DD2E0B">
        <w:rPr>
          <w:bCs/>
        </w:rPr>
        <w:t>, as established by department rule, within one working day of discovery of an accidental release of a regulated substance from the stationary source, if the owner or operator is required to report the release to the United States Environmental Protection Agency under Section 112(r)(6) of the CAA.</w:t>
      </w:r>
    </w:p>
    <w:p w14:paraId="6A3CA904" w14:textId="77777777" w:rsidR="00B47D51" w:rsidRPr="00DD2E0B" w:rsidRDefault="00B47D51" w:rsidP="007C1680">
      <w:pPr>
        <w:tabs>
          <w:tab w:val="left" w:pos="360"/>
          <w:tab w:val="left" w:pos="720"/>
          <w:tab w:val="left" w:pos="1080"/>
          <w:tab w:val="left" w:pos="1440"/>
        </w:tabs>
        <w:ind w:left="720" w:hanging="720"/>
        <w:rPr>
          <w:bCs/>
        </w:rPr>
      </w:pPr>
      <w:r w:rsidRPr="00DD2E0B">
        <w:rPr>
          <w:bCs/>
        </w:rPr>
        <w:tab/>
        <w:t>c.</w:t>
      </w:r>
      <w:r w:rsidRPr="00DD2E0B">
        <w:rPr>
          <w:bCs/>
        </w:rPr>
        <w:tab/>
        <w:t xml:space="preserve">The owner or operator shall submit the required annual registration fee to the </w:t>
      </w:r>
      <w:r w:rsidR="00B12A3B" w:rsidRPr="00DD2E0B">
        <w:rPr>
          <w:bCs/>
        </w:rPr>
        <w:t>Division of Emergency Management</w:t>
      </w:r>
      <w:r w:rsidRPr="00DD2E0B">
        <w:rPr>
          <w:bCs/>
        </w:rPr>
        <w:t xml:space="preserve"> on or before April 1, in accordance with Part IV, Chapter 252, F.S., and Rule </w:t>
      </w:r>
      <w:r w:rsidR="00DC377B" w:rsidRPr="00DD2E0B">
        <w:rPr>
          <w:bCs/>
        </w:rPr>
        <w:t>27P</w:t>
      </w:r>
      <w:r w:rsidRPr="00DD2E0B">
        <w:rPr>
          <w:bCs/>
        </w:rPr>
        <w:t>-21, F.A.C.</w:t>
      </w:r>
    </w:p>
    <w:p w14:paraId="342CDCA4" w14:textId="77777777" w:rsidR="00B47D51" w:rsidRPr="00DD2E0B" w:rsidRDefault="00B47D51" w:rsidP="007C1680">
      <w:pPr>
        <w:tabs>
          <w:tab w:val="left" w:pos="360"/>
          <w:tab w:val="left" w:pos="720"/>
          <w:tab w:val="left" w:pos="1080"/>
          <w:tab w:val="left" w:pos="1440"/>
        </w:tabs>
        <w:ind w:left="720" w:hanging="720"/>
        <w:rPr>
          <w:bCs/>
        </w:rPr>
      </w:pPr>
      <w:r w:rsidRPr="00DD2E0B">
        <w:rPr>
          <w:bCs/>
        </w:rPr>
        <w:tab/>
        <w:t>d.</w:t>
      </w:r>
      <w:r w:rsidRPr="00DD2E0B">
        <w:rPr>
          <w:bCs/>
        </w:rPr>
        <w:tab/>
        <w:t xml:space="preserve">Any required written reports, notifications, certifications, and data required to be sent to the </w:t>
      </w:r>
      <w:r w:rsidR="00B12A3B" w:rsidRPr="00DD2E0B">
        <w:rPr>
          <w:bCs/>
        </w:rPr>
        <w:t>Division of Emergency Management</w:t>
      </w:r>
      <w:r w:rsidRPr="00DD2E0B">
        <w:rPr>
          <w:bCs/>
        </w:rPr>
        <w:t xml:space="preserve">, should be sent to:  Division of Emergency Management, 2555 Shumard Oak Boulevard, Tallahassee, FL  32399-2100, Telephone: </w:t>
      </w:r>
      <w:r w:rsidR="00B12A3B" w:rsidRPr="00DD2E0B">
        <w:rPr>
          <w:bCs/>
        </w:rPr>
        <w:t xml:space="preserve"> </w:t>
      </w:r>
      <w:r w:rsidRPr="00DD2E0B">
        <w:rPr>
          <w:bCs/>
        </w:rPr>
        <w:t>(850) 413-99</w:t>
      </w:r>
      <w:r w:rsidR="00B12A3B" w:rsidRPr="00DD2E0B">
        <w:rPr>
          <w:bCs/>
        </w:rPr>
        <w:t>70</w:t>
      </w:r>
      <w:r w:rsidRPr="00DD2E0B">
        <w:rPr>
          <w:bCs/>
        </w:rPr>
        <w:t xml:space="preserve">, Fax: </w:t>
      </w:r>
      <w:r w:rsidR="00B12A3B" w:rsidRPr="00DD2E0B">
        <w:rPr>
          <w:bCs/>
        </w:rPr>
        <w:t xml:space="preserve"> </w:t>
      </w:r>
      <w:r w:rsidRPr="00DD2E0B">
        <w:rPr>
          <w:bCs/>
        </w:rPr>
        <w:t>(850) 488-1739.</w:t>
      </w:r>
    </w:p>
    <w:p w14:paraId="38193F6B" w14:textId="149F5BDD" w:rsidR="00B47D51" w:rsidRPr="00DD2E0B" w:rsidRDefault="00B47D51" w:rsidP="00DC377B">
      <w:pPr>
        <w:tabs>
          <w:tab w:val="left" w:pos="360"/>
          <w:tab w:val="left" w:pos="720"/>
          <w:tab w:val="left" w:pos="1080"/>
          <w:tab w:val="left" w:pos="1440"/>
        </w:tabs>
        <w:ind w:left="720" w:hanging="720"/>
        <w:rPr>
          <w:bCs/>
        </w:rPr>
      </w:pPr>
      <w:r w:rsidRPr="00DD2E0B">
        <w:rPr>
          <w:bCs/>
        </w:rPr>
        <w:tab/>
        <w:t>e.</w:t>
      </w:r>
      <w:r w:rsidRPr="00DD2E0B">
        <w:rPr>
          <w:bCs/>
        </w:rPr>
        <w:tab/>
        <w:t xml:space="preserve">Any Risk Management Plans, original submittals, revisions, or updates to submittals, should be sent </w:t>
      </w:r>
      <w:r w:rsidR="00B007CD" w:rsidRPr="00DD2E0B">
        <w:rPr>
          <w:bCs/>
        </w:rPr>
        <w:t xml:space="preserve">electronically through EPA’s Central Data Exchange </w:t>
      </w:r>
      <w:r w:rsidR="00E84547" w:rsidRPr="00DD2E0B">
        <w:rPr>
          <w:bCs/>
        </w:rPr>
        <w:t>system</w:t>
      </w:r>
      <w:r w:rsidR="00B007CD" w:rsidRPr="00DD2E0B">
        <w:rPr>
          <w:bCs/>
        </w:rPr>
        <w:t xml:space="preserve"> at the following address:  </w:t>
      </w:r>
      <w:hyperlink r:id="rId29" w:history="1">
        <w:r w:rsidR="00B007CD" w:rsidRPr="00DD2E0B">
          <w:rPr>
            <w:rStyle w:val="Hyperlink"/>
            <w:bCs/>
          </w:rPr>
          <w:t>https://cdx.epa.gov</w:t>
        </w:r>
      </w:hyperlink>
      <w:r w:rsidR="00B007CD" w:rsidRPr="00DD2E0B">
        <w:rPr>
          <w:bCs/>
        </w:rPr>
        <w:t xml:space="preserve">.  Information on electronically submitting risk management plans using the Central Data Exchange system is available at: </w:t>
      </w:r>
      <w:r w:rsidR="00DC377B" w:rsidRPr="00DD2E0B">
        <w:t xml:space="preserve"> </w:t>
      </w:r>
      <w:hyperlink r:id="rId30" w:history="1">
        <w:r w:rsidR="00DC377B" w:rsidRPr="00DD2E0B">
          <w:rPr>
            <w:rStyle w:val="Hyperlink"/>
          </w:rPr>
          <w:t>http://www2.epa.gov/rmp</w:t>
        </w:r>
      </w:hyperlink>
      <w:r w:rsidR="00B007CD" w:rsidRPr="00DD2E0B">
        <w:rPr>
          <w:bCs/>
        </w:rPr>
        <w:t xml:space="preserve">.  The RMP Reporting Center can be contacted at:  </w:t>
      </w:r>
      <w:r w:rsidR="002C6C2D" w:rsidRPr="00DD2E0B">
        <w:t>RMP Reporting Center, Post Office Box 10162, Fairfax, VA  22038, Telephone:  (703) 227-7650.</w:t>
      </w:r>
    </w:p>
    <w:p w14:paraId="3BA2BC6B" w14:textId="77777777" w:rsidR="00B47D51" w:rsidRPr="00DD2E0B" w:rsidRDefault="00A83459" w:rsidP="00871753">
      <w:pPr>
        <w:tabs>
          <w:tab w:val="left" w:pos="360"/>
          <w:tab w:val="left" w:pos="720"/>
          <w:tab w:val="left" w:pos="1080"/>
          <w:tab w:val="left" w:pos="1440"/>
        </w:tabs>
        <w:ind w:left="720" w:hanging="720"/>
        <w:rPr>
          <w:bCs/>
        </w:rPr>
      </w:pPr>
      <w:r w:rsidRPr="00DD2E0B">
        <w:rPr>
          <w:bCs/>
        </w:rPr>
        <w:tab/>
        <w:t>f.</w:t>
      </w:r>
      <w:r w:rsidR="007C1680" w:rsidRPr="00DD2E0B">
        <w:rPr>
          <w:bCs/>
        </w:rPr>
        <w:tab/>
      </w:r>
      <w:r w:rsidR="00B47D51" w:rsidRPr="00DD2E0B">
        <w:rPr>
          <w:bCs/>
        </w:rPr>
        <w:t xml:space="preserve">Any required reports to be sent to the National Response Center, should be sent to:  </w:t>
      </w:r>
      <w:r w:rsidR="00871753" w:rsidRPr="00DD2E0B">
        <w:rPr>
          <w:lang w:val="en"/>
        </w:rPr>
        <w:t>U.S. Environmental Protection Agency, Office of Solid Waste and Emergency Response, 1200 Pennsylvania Ave. NW, Mail Code:  US EPA (5101T), Washington, DC  20460</w:t>
      </w:r>
      <w:r w:rsidR="00B47D51" w:rsidRPr="00DD2E0B">
        <w:rPr>
          <w:bCs/>
        </w:rPr>
        <w:t>, Telephone:</w:t>
      </w:r>
      <w:r w:rsidR="00B12A3B" w:rsidRPr="00DD2E0B">
        <w:rPr>
          <w:bCs/>
        </w:rPr>
        <w:t xml:space="preserve"> </w:t>
      </w:r>
      <w:r w:rsidR="00B47D51" w:rsidRPr="00DD2E0B">
        <w:rPr>
          <w:bCs/>
        </w:rPr>
        <w:t xml:space="preserve"> (800) 424-8802.</w:t>
      </w:r>
    </w:p>
    <w:p w14:paraId="6D2338D3" w14:textId="77777777" w:rsidR="00B47D51" w:rsidRPr="00DD2E0B" w:rsidRDefault="00A83459" w:rsidP="00A83459">
      <w:pPr>
        <w:tabs>
          <w:tab w:val="left" w:pos="360"/>
          <w:tab w:val="left" w:pos="720"/>
          <w:tab w:val="left" w:pos="1080"/>
          <w:tab w:val="left" w:pos="1440"/>
        </w:tabs>
        <w:ind w:left="720" w:hanging="720"/>
        <w:rPr>
          <w:bCs/>
        </w:rPr>
      </w:pPr>
      <w:r w:rsidRPr="00DD2E0B">
        <w:rPr>
          <w:bCs/>
        </w:rPr>
        <w:tab/>
      </w:r>
      <w:r w:rsidR="00950152" w:rsidRPr="00DD2E0B">
        <w:rPr>
          <w:bCs/>
        </w:rPr>
        <w:t>g</w:t>
      </w:r>
      <w:r w:rsidRPr="00DD2E0B">
        <w:rPr>
          <w:bCs/>
        </w:rPr>
        <w:t>.</w:t>
      </w:r>
      <w:r w:rsidRPr="00DD2E0B">
        <w:rPr>
          <w:bCs/>
        </w:rPr>
        <w:tab/>
      </w:r>
      <w:r w:rsidR="00B47D51" w:rsidRPr="00DD2E0B">
        <w:rPr>
          <w:bCs/>
        </w:rPr>
        <w:t>Send the required annual registration fee using approved forms made payable to:</w:t>
      </w:r>
      <w:r w:rsidR="00B12A3B" w:rsidRPr="00DD2E0B">
        <w:rPr>
          <w:bCs/>
        </w:rPr>
        <w:t xml:space="preserve"> </w:t>
      </w:r>
      <w:r w:rsidR="00B47D51" w:rsidRPr="00DD2E0B">
        <w:rPr>
          <w:bCs/>
        </w:rPr>
        <w:t xml:space="preserve"> Cashier, </w:t>
      </w:r>
      <w:r w:rsidR="007524F7" w:rsidRPr="00DD2E0B">
        <w:rPr>
          <w:bCs/>
        </w:rPr>
        <w:t>Division of Emergency Management</w:t>
      </w:r>
      <w:r w:rsidR="00B47D51" w:rsidRPr="00DD2E0B">
        <w:rPr>
          <w:bCs/>
        </w:rPr>
        <w:t>, State Emergency Response Commission, 2555 Shumard Oak Boulevard, Tallahassee, FL  32399-2149</w:t>
      </w:r>
    </w:p>
    <w:p w14:paraId="7B47DC54" w14:textId="77777777" w:rsidR="00B47D51" w:rsidRDefault="00B47D51" w:rsidP="007C1680">
      <w:pPr>
        <w:pStyle w:val="Style0"/>
        <w:tabs>
          <w:tab w:val="left" w:pos="360"/>
          <w:tab w:val="left" w:pos="720"/>
          <w:tab w:val="left" w:pos="1080"/>
          <w:tab w:val="left" w:pos="1440"/>
        </w:tabs>
        <w:ind w:left="360" w:hanging="360"/>
        <w:rPr>
          <w:rFonts w:ascii="Times New Roman" w:hAnsi="Times New Roman"/>
          <w:sz w:val="22"/>
        </w:rPr>
      </w:pPr>
      <w:r w:rsidRPr="00DD2E0B">
        <w:rPr>
          <w:rFonts w:ascii="Times New Roman" w:hAnsi="Times New Roman"/>
          <w:sz w:val="22"/>
        </w:rPr>
        <w:tab/>
        <w:t xml:space="preserve">[Part IV, Chapter 252, F.S.; and, Rule </w:t>
      </w:r>
      <w:r w:rsidR="00DC377B" w:rsidRPr="00DD2E0B">
        <w:rPr>
          <w:rFonts w:ascii="Times New Roman" w:hAnsi="Times New Roman"/>
          <w:sz w:val="22"/>
        </w:rPr>
        <w:t>27P</w:t>
      </w:r>
      <w:r w:rsidRPr="00DD2E0B">
        <w:rPr>
          <w:rFonts w:ascii="Times New Roman" w:hAnsi="Times New Roman"/>
          <w:sz w:val="22"/>
        </w:rPr>
        <w:t>-21, F.A.C.]</w:t>
      </w:r>
    </w:p>
    <w:p w14:paraId="5BC709E3" w14:textId="77777777" w:rsidR="00B23ED5" w:rsidRPr="003742CA" w:rsidRDefault="00B23ED5" w:rsidP="00B23ED5">
      <w:pPr>
        <w:numPr>
          <w:ilvl w:val="0"/>
          <w:numId w:val="1"/>
        </w:numPr>
        <w:tabs>
          <w:tab w:val="clear" w:pos="450"/>
          <w:tab w:val="left" w:pos="360"/>
          <w:tab w:val="left" w:pos="720"/>
          <w:tab w:val="left" w:pos="1080"/>
          <w:tab w:val="left" w:pos="1440"/>
        </w:tabs>
        <w:spacing w:before="120"/>
        <w:ind w:left="360" w:hanging="360"/>
        <w:rPr>
          <w:szCs w:val="22"/>
        </w:rPr>
      </w:pPr>
      <w:bookmarkStart w:id="14" w:name="_Hlk509406950"/>
      <w:bookmarkStart w:id="15" w:name="_Hlk501357938"/>
      <w:r>
        <w:rPr>
          <w:u w:val="single"/>
        </w:rPr>
        <w:t>Semi-Annual Reports</w:t>
      </w:r>
      <w:r>
        <w:t xml:space="preserve">.  </w:t>
      </w:r>
      <w:r w:rsidRPr="003742CA">
        <w:t>The permittee shall monitor compliance with the terms and conditions of this permit and shall submit reports at least every six months to the compliance office.  Each semi-annual report shall cover the 6-month periods of January 1 – June 30 and July 1 – December 31.  The reports shall be submitted by the 60</w:t>
      </w:r>
      <w:r w:rsidRPr="003742CA">
        <w:rPr>
          <w:vertAlign w:val="superscript"/>
        </w:rPr>
        <w:t>th</w:t>
      </w:r>
      <w:r w:rsidRPr="003742CA">
        <w:t xml:space="preserve"> day following the end of each calendar half (i.e., March 1</w:t>
      </w:r>
      <w:r w:rsidRPr="003742CA">
        <w:rPr>
          <w:vertAlign w:val="superscript"/>
        </w:rPr>
        <w:t>st</w:t>
      </w:r>
      <w:r w:rsidRPr="003742CA">
        <w:t xml:space="preserve"> and August 29</w:t>
      </w:r>
      <w:r w:rsidRPr="003742CA">
        <w:rPr>
          <w:vertAlign w:val="superscript"/>
        </w:rPr>
        <w:t>th</w:t>
      </w:r>
      <w:r w:rsidRPr="003742CA">
        <w:t xml:space="preserve"> of every year).  All</w:t>
      </w:r>
      <w:r w:rsidRPr="003742CA">
        <w:rPr>
          <w:color w:val="000000"/>
        </w:rPr>
        <w:t xml:space="preserve"> </w:t>
      </w:r>
      <w:r w:rsidRPr="003742CA">
        <w:t>instances of deviations from permit requirements (including conditions in the referenced Appendices) must be clearly identified in such reports, including reference to the specific requirement and the duration of such deviation.  If there are no deviations during the reporting period, the report shall so indicate.</w:t>
      </w:r>
      <w:r>
        <w:t xml:space="preserve"> </w:t>
      </w:r>
      <w:r w:rsidRPr="003742CA">
        <w:t xml:space="preserve"> Any semi-annual reporting requirements contained in applicable federal NSPS or NESHAP requirements may be submitted as part of this report</w:t>
      </w:r>
      <w:r w:rsidRPr="003742CA">
        <w:rPr>
          <w:color w:val="000000"/>
        </w:rPr>
        <w:t>.</w:t>
      </w:r>
      <w:r w:rsidRPr="003742CA">
        <w:t xml:space="preserve">  The submittal dates specified above shall replace the submittal dates specified in the federal rules.  </w:t>
      </w:r>
      <w:r w:rsidRPr="003742CA">
        <w:rPr>
          <w:color w:val="000000"/>
        </w:rPr>
        <w:t xml:space="preserve">All additional reports submitted as part of this report should be clearly identified according to the specific federal requirement.  </w:t>
      </w:r>
      <w:r w:rsidRPr="003742CA">
        <w:t>All reports shall include a certification by a responsible official, pursuant to subsection 62-213.420(4), F.A.C.</w:t>
      </w:r>
      <w:r>
        <w:t xml:space="preserve"> </w:t>
      </w:r>
      <w:r w:rsidRPr="003742CA">
        <w:t xml:space="preserve"> (See also Conditions RR2. – RR4. of Appendix RR, Facility-wide Reporting Requirements, for additional reporting requirements related to deviations.)</w:t>
      </w:r>
      <w:r>
        <w:t xml:space="preserve"> </w:t>
      </w:r>
      <w:r w:rsidRPr="003742CA">
        <w:t xml:space="preserve"> [Rule 62-213.440(1)(b)3.a., F.A.C.; and, 40 CFR 60.19, 40 CFR 61.10 &amp; 40 CFR 63.10]</w:t>
      </w:r>
    </w:p>
    <w:bookmarkEnd w:id="14"/>
    <w:p w14:paraId="7DD32EB1" w14:textId="77777777" w:rsidR="00B23ED5" w:rsidRPr="006B44FA" w:rsidRDefault="00B23ED5" w:rsidP="00B23ED5">
      <w:pPr>
        <w:tabs>
          <w:tab w:val="left" w:pos="360"/>
          <w:tab w:val="left" w:pos="720"/>
          <w:tab w:val="left" w:pos="1080"/>
          <w:tab w:val="left" w:pos="1440"/>
        </w:tabs>
        <w:spacing w:before="120"/>
        <w:ind w:left="360"/>
        <w:rPr>
          <w:i/>
          <w:highlight w:val="green"/>
        </w:rPr>
      </w:pPr>
      <w:r w:rsidRPr="003742CA">
        <w:rPr>
          <w:i/>
        </w:rPr>
        <w:t>{Permitting Note:  EPA has clarified that, pursuant to 40 CFR 70.6(a)(3), the word “monitoring” is used in a broad sense and means monitoring (i.e., paying attention to) the compliance of the source with all emissions limitations, standards, and work practices specified in the permit.}</w:t>
      </w:r>
    </w:p>
    <w:bookmarkEnd w:id="15"/>
    <w:p w14:paraId="6AF8B808" w14:textId="4BB6A461" w:rsidR="00B76620" w:rsidRDefault="00B76620" w:rsidP="006144AF">
      <w:pPr>
        <w:tabs>
          <w:tab w:val="left" w:pos="360"/>
          <w:tab w:val="left" w:pos="720"/>
          <w:tab w:val="left" w:pos="1080"/>
          <w:tab w:val="left" w:pos="1440"/>
        </w:tabs>
        <w:spacing w:before="120"/>
        <w:ind w:left="360" w:hanging="360"/>
        <w:jc w:val="both"/>
      </w:pPr>
    </w:p>
    <w:p w14:paraId="62B909C2" w14:textId="77777777" w:rsidR="00B96268" w:rsidRDefault="00B96268" w:rsidP="00B76620">
      <w:pPr>
        <w:tabs>
          <w:tab w:val="left" w:pos="360"/>
          <w:tab w:val="left" w:pos="720"/>
          <w:tab w:val="left" w:pos="1080"/>
          <w:tab w:val="left" w:pos="1440"/>
        </w:tabs>
        <w:ind w:left="360" w:hanging="360"/>
        <w:jc w:val="both"/>
        <w:sectPr w:rsidR="00B96268" w:rsidSect="000A0A5C">
          <w:headerReference w:type="even" r:id="rId31"/>
          <w:headerReference w:type="default" r:id="rId32"/>
          <w:headerReference w:type="first" r:id="rId33"/>
          <w:pgSz w:w="12240" w:h="15840" w:code="1"/>
          <w:pgMar w:top="1080" w:right="1080" w:bottom="1080" w:left="1080" w:header="720" w:footer="720" w:gutter="0"/>
          <w:paperSrc w:first="15" w:other="15"/>
          <w:cols w:space="720"/>
        </w:sectPr>
      </w:pPr>
    </w:p>
    <w:p w14:paraId="6FB8453E" w14:textId="14378105" w:rsidR="00151782" w:rsidRPr="00B91D1B" w:rsidRDefault="00151782" w:rsidP="007C667F">
      <w:pPr>
        <w:spacing w:after="60"/>
        <w:rPr>
          <w:szCs w:val="22"/>
        </w:rPr>
      </w:pPr>
      <w:bookmarkStart w:id="16" w:name="Section3A"/>
      <w:bookmarkEnd w:id="16"/>
      <w:r w:rsidRPr="005C3500">
        <w:rPr>
          <w:b/>
        </w:rPr>
        <w:t>The specific conditions in this section apply to the following emissions unit</w:t>
      </w:r>
      <w:r w:rsidR="005C3500">
        <w:rPr>
          <w:b/>
        </w:rPr>
        <w:t>s</w:t>
      </w:r>
      <w:r w:rsidRPr="005C3500">
        <w:rPr>
          <w:b/>
        </w:rPr>
        <w:t>:</w:t>
      </w:r>
    </w:p>
    <w:tbl>
      <w:tblPr>
        <w:tblW w:w="9954" w:type="dxa"/>
        <w:tblInd w:w="10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top w:w="43" w:type="dxa"/>
          <w:left w:w="72" w:type="dxa"/>
          <w:bottom w:w="43" w:type="dxa"/>
          <w:right w:w="72" w:type="dxa"/>
        </w:tblCellMar>
        <w:tblLook w:val="0000" w:firstRow="0" w:lastRow="0" w:firstColumn="0" w:lastColumn="0" w:noHBand="0" w:noVBand="0"/>
      </w:tblPr>
      <w:tblGrid>
        <w:gridCol w:w="939"/>
        <w:gridCol w:w="9015"/>
      </w:tblGrid>
      <w:tr w:rsidR="00151782" w14:paraId="4A5BD01E" w14:textId="77777777" w:rsidTr="00792477">
        <w:tc>
          <w:tcPr>
            <w:tcW w:w="939" w:type="dxa"/>
            <w:tcBorders>
              <w:top w:val="single" w:sz="12" w:space="0" w:color="auto"/>
              <w:bottom w:val="single" w:sz="12" w:space="0" w:color="auto"/>
            </w:tcBorders>
          </w:tcPr>
          <w:p w14:paraId="0B455FB3" w14:textId="77777777" w:rsidR="00151782" w:rsidRPr="00D075B0" w:rsidRDefault="00151782" w:rsidP="00D66F5B">
            <w:pPr>
              <w:jc w:val="center"/>
              <w:rPr>
                <w:b/>
                <w:szCs w:val="22"/>
              </w:rPr>
            </w:pPr>
            <w:r w:rsidRPr="00D075B0">
              <w:rPr>
                <w:szCs w:val="22"/>
              </w:rPr>
              <w:br w:type="page"/>
            </w:r>
            <w:r w:rsidRPr="00D075B0">
              <w:rPr>
                <w:szCs w:val="22"/>
              </w:rPr>
              <w:br w:type="page"/>
            </w:r>
            <w:r w:rsidRPr="00D075B0">
              <w:rPr>
                <w:b/>
                <w:szCs w:val="22"/>
              </w:rPr>
              <w:t>EU No.</w:t>
            </w:r>
          </w:p>
        </w:tc>
        <w:tc>
          <w:tcPr>
            <w:tcW w:w="9015" w:type="dxa"/>
            <w:tcBorders>
              <w:top w:val="single" w:sz="12" w:space="0" w:color="auto"/>
              <w:bottom w:val="single" w:sz="12" w:space="0" w:color="auto"/>
            </w:tcBorders>
          </w:tcPr>
          <w:p w14:paraId="7F751962" w14:textId="77777777" w:rsidR="00151782" w:rsidRPr="00D075B0" w:rsidRDefault="00151782" w:rsidP="00D66F5B">
            <w:pPr>
              <w:rPr>
                <w:b/>
                <w:szCs w:val="22"/>
              </w:rPr>
            </w:pPr>
            <w:r w:rsidRPr="00D075B0">
              <w:rPr>
                <w:b/>
                <w:szCs w:val="22"/>
              </w:rPr>
              <w:t>Brief Description</w:t>
            </w:r>
          </w:p>
        </w:tc>
      </w:tr>
      <w:tr w:rsidR="00792477" w14:paraId="28132606" w14:textId="77777777" w:rsidTr="00792477">
        <w:tc>
          <w:tcPr>
            <w:tcW w:w="939" w:type="dxa"/>
            <w:tcBorders>
              <w:top w:val="single" w:sz="12" w:space="0" w:color="auto"/>
            </w:tcBorders>
            <w:vAlign w:val="center"/>
          </w:tcPr>
          <w:p w14:paraId="3F4BF121" w14:textId="1BCFF820" w:rsidR="00792477" w:rsidRPr="00792477" w:rsidRDefault="00792477" w:rsidP="00792477">
            <w:pPr>
              <w:jc w:val="center"/>
              <w:rPr>
                <w:szCs w:val="22"/>
              </w:rPr>
            </w:pPr>
            <w:r w:rsidRPr="00792477">
              <w:rPr>
                <w:szCs w:val="22"/>
              </w:rPr>
              <w:t>001</w:t>
            </w:r>
          </w:p>
        </w:tc>
        <w:tc>
          <w:tcPr>
            <w:tcW w:w="9015" w:type="dxa"/>
            <w:tcBorders>
              <w:top w:val="single" w:sz="12" w:space="0" w:color="auto"/>
            </w:tcBorders>
            <w:vAlign w:val="center"/>
          </w:tcPr>
          <w:p w14:paraId="5F6E5DD9" w14:textId="6FDA1840" w:rsidR="00792477" w:rsidRPr="00D075B0" w:rsidRDefault="00792477" w:rsidP="00792477">
            <w:pPr>
              <w:rPr>
                <w:szCs w:val="22"/>
              </w:rPr>
            </w:pPr>
            <w:r w:rsidRPr="00C16FF6">
              <w:rPr>
                <w:szCs w:val="22"/>
              </w:rPr>
              <w:t>Fossil Fuel Fired Steam Generator No. 1</w:t>
            </w:r>
          </w:p>
        </w:tc>
      </w:tr>
      <w:tr w:rsidR="00792477" w14:paraId="0FC07D81" w14:textId="77777777" w:rsidTr="00184AFA">
        <w:tc>
          <w:tcPr>
            <w:tcW w:w="939" w:type="dxa"/>
            <w:vAlign w:val="center"/>
          </w:tcPr>
          <w:p w14:paraId="01A68601" w14:textId="5673B909" w:rsidR="00792477" w:rsidRPr="00792477" w:rsidRDefault="00792477" w:rsidP="00792477">
            <w:pPr>
              <w:jc w:val="center"/>
              <w:rPr>
                <w:szCs w:val="22"/>
              </w:rPr>
            </w:pPr>
            <w:r w:rsidRPr="00792477">
              <w:rPr>
                <w:szCs w:val="22"/>
              </w:rPr>
              <w:t>002</w:t>
            </w:r>
          </w:p>
        </w:tc>
        <w:tc>
          <w:tcPr>
            <w:tcW w:w="9015" w:type="dxa"/>
            <w:vAlign w:val="center"/>
          </w:tcPr>
          <w:p w14:paraId="6C6F9553" w14:textId="65F59B1A" w:rsidR="00792477" w:rsidRDefault="00792477" w:rsidP="00792477">
            <w:pPr>
              <w:rPr>
                <w:highlight w:val="yellow"/>
              </w:rPr>
            </w:pPr>
            <w:r w:rsidRPr="00C16FF6">
              <w:rPr>
                <w:szCs w:val="22"/>
              </w:rPr>
              <w:t>Fossil Fuel Fired Steam Generator No. 2</w:t>
            </w:r>
          </w:p>
        </w:tc>
      </w:tr>
    </w:tbl>
    <w:p w14:paraId="1F3214ED" w14:textId="5BAC271B" w:rsidR="005C3500" w:rsidRPr="00603823" w:rsidRDefault="005C3500" w:rsidP="007C667F">
      <w:pPr>
        <w:spacing w:before="120" w:after="120"/>
        <w:rPr>
          <w:szCs w:val="22"/>
        </w:rPr>
      </w:pPr>
      <w:bookmarkStart w:id="17" w:name="_Hlk519694772"/>
      <w:r w:rsidRPr="00C16FF6">
        <w:rPr>
          <w:szCs w:val="22"/>
        </w:rPr>
        <w:t>Each fossil fuel fired steam generator emissions unit is identical in configuration.  Each steam generator has a capacity of 863.3 MW and are equipped with low NO</w:t>
      </w:r>
      <w:r w:rsidRPr="00C16FF6">
        <w:rPr>
          <w:szCs w:val="22"/>
          <w:vertAlign w:val="subscript"/>
        </w:rPr>
        <w:t>X</w:t>
      </w:r>
      <w:r w:rsidRPr="00C16FF6">
        <w:rPr>
          <w:szCs w:val="22"/>
        </w:rPr>
        <w:t xml:space="preserve"> dual fuel firing burners to reduce emissions of NO</w:t>
      </w:r>
      <w:r w:rsidRPr="00C16FF6">
        <w:rPr>
          <w:szCs w:val="22"/>
          <w:vertAlign w:val="subscript"/>
        </w:rPr>
        <w:t>X</w:t>
      </w:r>
      <w:r w:rsidRPr="00C16FF6">
        <w:rPr>
          <w:szCs w:val="22"/>
        </w:rPr>
        <w:t>; and</w:t>
      </w:r>
      <w:r w:rsidRPr="00755B94">
        <w:rPr>
          <w:szCs w:val="22"/>
          <w:highlight w:val="yellow"/>
          <w:u w:val="double"/>
        </w:rPr>
        <w:t xml:space="preserve"> </w:t>
      </w:r>
      <w:r w:rsidRPr="00DD7EF4">
        <w:rPr>
          <w:szCs w:val="22"/>
        </w:rPr>
        <w:t>dry electrostatic precipitator (ESPs)</w:t>
      </w:r>
      <w:r w:rsidRPr="00755B94">
        <w:rPr>
          <w:szCs w:val="22"/>
        </w:rPr>
        <w:t>,</w:t>
      </w:r>
      <w:r w:rsidRPr="00C16FF6">
        <w:rPr>
          <w:szCs w:val="22"/>
        </w:rPr>
        <w:t xml:space="preserve"> with fly ash </w:t>
      </w:r>
      <w:r w:rsidRPr="00603823">
        <w:rPr>
          <w:szCs w:val="22"/>
        </w:rPr>
        <w:t>reinjection, to control PM emissions.  In addition, the units have a continuous emission monitoring system (CEMS) for measuring NO</w:t>
      </w:r>
      <w:r w:rsidRPr="00603823">
        <w:rPr>
          <w:szCs w:val="22"/>
          <w:vertAlign w:val="subscript"/>
        </w:rPr>
        <w:t>X</w:t>
      </w:r>
      <w:r w:rsidRPr="00603823">
        <w:rPr>
          <w:szCs w:val="22"/>
        </w:rPr>
        <w:t xml:space="preserve"> and sulfur dioxide (SO</w:t>
      </w:r>
      <w:r w:rsidRPr="00603823">
        <w:rPr>
          <w:szCs w:val="22"/>
          <w:vertAlign w:val="subscript"/>
        </w:rPr>
        <w:t>2</w:t>
      </w:r>
      <w:r w:rsidRPr="00603823">
        <w:rPr>
          <w:szCs w:val="22"/>
        </w:rPr>
        <w:t>) and a continuous opacity monitoring system (COMS) for measuring visible emissions (VE).  Steam Generator No. 1 commenced commercial operation in December 1980.  Steam Generator No. 2 commenced commercial operation in June 1981.  The stack parameters for both steam generators are:  499 feet in height; 36 feet in diameter; a flow rate of 2,634,519 actual cubic feet per minute (acfm) at a temperature of 338 degrees Fahrenheit (ºF); and exit velocity is 43.1 feet per second (fps).</w:t>
      </w:r>
    </w:p>
    <w:p w14:paraId="5262236D" w14:textId="66261961" w:rsidR="00ED07B7" w:rsidRPr="00603823" w:rsidRDefault="00ED07B7" w:rsidP="007C667F">
      <w:pPr>
        <w:spacing w:before="120" w:after="120"/>
        <w:rPr>
          <w:i/>
        </w:rPr>
      </w:pPr>
      <w:bookmarkStart w:id="18" w:name="_Hlk519774629"/>
      <w:bookmarkStart w:id="19" w:name="_Hlk520120187"/>
      <w:r w:rsidRPr="00603823">
        <w:rPr>
          <w:i/>
        </w:rPr>
        <w:t>{Permitting Note:  These emissions units are regulated under:  40 CFR 60, Subpart A, General Provisions, and Subpart D, Standards of Performance for Fossil Fuel-Fired Steam Generators, adopted by reference in Rule 62-204.800(8)(d) and (8)(b)1., F.A.C., respectively; 40 CFR 63, Subpart A, General Provisions, and, Subpart UUUUU</w:t>
      </w:r>
      <w:r w:rsidR="00B15434" w:rsidRPr="00603823">
        <w:rPr>
          <w:i/>
        </w:rPr>
        <w:t>, NESHAP:  Coal- and Oil-Fired Electric Utility Steam Generating Units</w:t>
      </w:r>
      <w:r w:rsidR="00213305" w:rsidRPr="00603823">
        <w:rPr>
          <w:i/>
        </w:rPr>
        <w:t xml:space="preserve">, adopted by reference in Rule 62-204.800(11)(d)1. and (11)(b)1., F.A.C., respectively; </w:t>
      </w:r>
      <w:r w:rsidR="00CC2A32" w:rsidRPr="00603823">
        <w:rPr>
          <w:i/>
        </w:rPr>
        <w:t xml:space="preserve">Rule 62-296.405, F.A.C., </w:t>
      </w:r>
      <w:r w:rsidR="00CC2A32" w:rsidRPr="00603823">
        <w:rPr>
          <w:i/>
          <w:szCs w:val="22"/>
        </w:rPr>
        <w:t>Fossil Fuel Steam Generators with More Than 250 Million Btu Per Hour Heat Input; and,</w:t>
      </w:r>
      <w:r w:rsidR="00CC2A32" w:rsidRPr="00603823">
        <w:rPr>
          <w:i/>
        </w:rPr>
        <w:t xml:space="preserve"> </w:t>
      </w:r>
      <w:r w:rsidR="00213305" w:rsidRPr="00603823">
        <w:rPr>
          <w:i/>
        </w:rPr>
        <w:t>Chapter 62-214, F.A.C., the Phase II Acid Rain Program as specified in Section IV of this Permit.</w:t>
      </w:r>
      <w:r w:rsidR="00A12635" w:rsidRPr="00603823">
        <w:rPr>
          <w:i/>
        </w:rPr>
        <w:t xml:space="preserve">  These emissions units currently do not </w:t>
      </w:r>
      <w:r w:rsidR="00D863F7" w:rsidRPr="00603823">
        <w:rPr>
          <w:i/>
        </w:rPr>
        <w:t>meet the definition of</w:t>
      </w:r>
      <w:r w:rsidR="00A12635" w:rsidRPr="00603823">
        <w:rPr>
          <w:i/>
        </w:rPr>
        <w:t xml:space="preserve"> “oil-fired electric utility steam generating units”, in accordance with 40 CFR 63.10042, because these units have not burned oil for more than 10.0 percent(%) of the</w:t>
      </w:r>
      <w:r w:rsidR="00D863F7" w:rsidRPr="00603823">
        <w:rPr>
          <w:i/>
        </w:rPr>
        <w:t xml:space="preserve"> average</w:t>
      </w:r>
      <w:r w:rsidR="00A12635" w:rsidRPr="00603823">
        <w:rPr>
          <w:i/>
        </w:rPr>
        <w:t xml:space="preserve"> annual heat input</w:t>
      </w:r>
      <w:r w:rsidR="00D863F7" w:rsidRPr="00603823">
        <w:rPr>
          <w:i/>
        </w:rPr>
        <w:t xml:space="preserve"> during the previous 3 calendar years or more than 15.0% of the annual heat input during any of the previous 3 calendar years.  These units currently meet the definition of “natural-gas fired electric utility steam generating units” in accordance with 40 CFR 63.10042.  In accordance with 40 CFR 63.9983(b), these units are currently not subject to 40 CFR 63, Subpart UUUUU, but </w:t>
      </w:r>
      <w:r w:rsidR="00C638F9" w:rsidRPr="00603823">
        <w:rPr>
          <w:i/>
        </w:rPr>
        <w:t>shall</w:t>
      </w:r>
      <w:r w:rsidR="00D863F7" w:rsidRPr="00603823">
        <w:rPr>
          <w:i/>
        </w:rPr>
        <w:t xml:space="preserve"> be required to meet the provisions of this subpart if these units meet the definition of “oil-fired electric utility steam generating units”</w:t>
      </w:r>
      <w:r w:rsidR="00C638F9" w:rsidRPr="00603823">
        <w:rPr>
          <w:i/>
        </w:rPr>
        <w:t>, pursuant to 40 CFR 63.9984(f)</w:t>
      </w:r>
      <w:r w:rsidR="00D863F7" w:rsidRPr="00603823">
        <w:rPr>
          <w:i/>
        </w:rPr>
        <w:t>.</w:t>
      </w:r>
      <w:r w:rsidR="00213305" w:rsidRPr="00603823">
        <w:rPr>
          <w:i/>
        </w:rPr>
        <w:t>}</w:t>
      </w:r>
      <w:bookmarkEnd w:id="18"/>
    </w:p>
    <w:bookmarkEnd w:id="19"/>
    <w:bookmarkEnd w:id="17"/>
    <w:p w14:paraId="7412EB61" w14:textId="77777777" w:rsidR="00151782" w:rsidRDefault="00151782" w:rsidP="007C667F">
      <w:pPr>
        <w:tabs>
          <w:tab w:val="left" w:pos="0"/>
        </w:tabs>
        <w:suppressAutoHyphens/>
        <w:spacing w:after="120"/>
        <w:jc w:val="both"/>
        <w:rPr>
          <w:b/>
          <w:u w:val="single"/>
        </w:rPr>
      </w:pPr>
      <w:r>
        <w:rPr>
          <w:b/>
          <w:u w:val="single"/>
        </w:rPr>
        <w:t>Essential Potential to Emit (PTE) Parameters</w:t>
      </w:r>
    </w:p>
    <w:p w14:paraId="14DCD7CF" w14:textId="1F13760E" w:rsidR="007837FB" w:rsidRPr="00CC2A32" w:rsidRDefault="00CD10E7" w:rsidP="005B0CC1">
      <w:pPr>
        <w:numPr>
          <w:ilvl w:val="0"/>
          <w:numId w:val="2"/>
        </w:numPr>
        <w:tabs>
          <w:tab w:val="num" w:pos="720"/>
        </w:tabs>
        <w:spacing w:after="120"/>
        <w:ind w:left="576" w:hanging="576"/>
        <w:rPr>
          <w:u w:val="single"/>
        </w:rPr>
      </w:pPr>
      <w:bookmarkStart w:id="20" w:name="_Ref519695010"/>
      <w:bookmarkStart w:id="21" w:name="_Hlk519774723"/>
      <w:r w:rsidRPr="00CC2A32">
        <w:rPr>
          <w:u w:val="single"/>
        </w:rPr>
        <w:t>Permitted Capacity</w:t>
      </w:r>
      <w:r w:rsidRPr="00CC2A32">
        <w:t xml:space="preserve">. </w:t>
      </w:r>
      <w:r w:rsidR="000A0495" w:rsidRPr="00CC2A32">
        <w:t xml:space="preserve"> </w:t>
      </w:r>
      <w:r w:rsidR="007837FB" w:rsidRPr="00CC2A32">
        <w:t xml:space="preserve">The maximum </w:t>
      </w:r>
      <w:r w:rsidR="00E04AF0" w:rsidRPr="00CC2A32">
        <w:t>allowable</w:t>
      </w:r>
      <w:r w:rsidR="007837FB" w:rsidRPr="00CC2A32">
        <w:t xml:space="preserve"> heat input rate</w:t>
      </w:r>
      <w:r w:rsidR="00CC2A32">
        <w:t xml:space="preserve"> to each boiler</w:t>
      </w:r>
      <w:r w:rsidR="007837FB" w:rsidRPr="00CC2A32">
        <w:t xml:space="preserve"> is as follows:</w:t>
      </w:r>
      <w:bookmarkEnd w:id="20"/>
    </w:p>
    <w:tbl>
      <w:tblPr>
        <w:tblW w:w="9000" w:type="dxa"/>
        <w:tblLayout w:type="fixed"/>
        <w:tblLook w:val="0000" w:firstRow="0" w:lastRow="0" w:firstColumn="0" w:lastColumn="0" w:noHBand="0" w:noVBand="0"/>
      </w:tblPr>
      <w:tblGrid>
        <w:gridCol w:w="1728"/>
        <w:gridCol w:w="2412"/>
        <w:gridCol w:w="4860"/>
      </w:tblGrid>
      <w:tr w:rsidR="007837FB" w:rsidRPr="00CC2A32" w14:paraId="2CA5163D" w14:textId="77777777">
        <w:tc>
          <w:tcPr>
            <w:tcW w:w="1728" w:type="dxa"/>
          </w:tcPr>
          <w:p w14:paraId="774FE581" w14:textId="77777777" w:rsidR="007837FB" w:rsidRPr="00CC2A32" w:rsidRDefault="007837FB" w:rsidP="0099559F">
            <w:pPr>
              <w:jc w:val="center"/>
            </w:pPr>
            <w:r w:rsidRPr="00CC2A32">
              <w:rPr>
                <w:u w:val="single"/>
              </w:rPr>
              <w:t>Unit No.</w:t>
            </w:r>
          </w:p>
        </w:tc>
        <w:tc>
          <w:tcPr>
            <w:tcW w:w="2412" w:type="dxa"/>
          </w:tcPr>
          <w:p w14:paraId="4F2486BD" w14:textId="5D084B89" w:rsidR="007837FB" w:rsidRPr="00CC2A32" w:rsidRDefault="007837FB" w:rsidP="0099559F">
            <w:pPr>
              <w:jc w:val="center"/>
            </w:pPr>
            <w:r w:rsidRPr="00CC2A32">
              <w:rPr>
                <w:u w:val="single"/>
              </w:rPr>
              <w:t>MMBtu/hr Heat Input</w:t>
            </w:r>
          </w:p>
        </w:tc>
        <w:tc>
          <w:tcPr>
            <w:tcW w:w="4860" w:type="dxa"/>
          </w:tcPr>
          <w:p w14:paraId="4751EAAF" w14:textId="77777777" w:rsidR="007837FB" w:rsidRPr="00CC2A32" w:rsidRDefault="007837FB" w:rsidP="0099559F">
            <w:r w:rsidRPr="00CC2A32">
              <w:rPr>
                <w:u w:val="single"/>
              </w:rPr>
              <w:t>Fuel Type</w:t>
            </w:r>
          </w:p>
        </w:tc>
      </w:tr>
      <w:tr w:rsidR="007837FB" w:rsidRPr="00CC2A32" w14:paraId="19E1B14C" w14:textId="77777777">
        <w:tc>
          <w:tcPr>
            <w:tcW w:w="1728" w:type="dxa"/>
          </w:tcPr>
          <w:p w14:paraId="5452F3C2" w14:textId="718B6D5D" w:rsidR="007837FB" w:rsidRPr="00CC2A32" w:rsidRDefault="00CC2A32" w:rsidP="0099559F">
            <w:pPr>
              <w:jc w:val="center"/>
            </w:pPr>
            <w:r w:rsidRPr="00CC2A32">
              <w:t>001 &amp; 002</w:t>
            </w:r>
          </w:p>
        </w:tc>
        <w:tc>
          <w:tcPr>
            <w:tcW w:w="2412" w:type="dxa"/>
          </w:tcPr>
          <w:p w14:paraId="0D5E2BE7" w14:textId="29A3DA9A" w:rsidR="007837FB" w:rsidRPr="00CC2A32" w:rsidRDefault="00CC2A32" w:rsidP="0099559F">
            <w:pPr>
              <w:jc w:val="center"/>
            </w:pPr>
            <w:r w:rsidRPr="00CC2A32">
              <w:t>8,650</w:t>
            </w:r>
          </w:p>
        </w:tc>
        <w:tc>
          <w:tcPr>
            <w:tcW w:w="4860" w:type="dxa"/>
          </w:tcPr>
          <w:p w14:paraId="70C6E8E6" w14:textId="5337F1C7" w:rsidR="007837FB" w:rsidRPr="00CC2A32" w:rsidRDefault="00CC2A32" w:rsidP="0099559F">
            <w:r w:rsidRPr="00CC2A32">
              <w:t>Fuel Oil</w:t>
            </w:r>
          </w:p>
        </w:tc>
      </w:tr>
      <w:tr w:rsidR="007837FB" w14:paraId="265F4344" w14:textId="77777777">
        <w:tc>
          <w:tcPr>
            <w:tcW w:w="1728" w:type="dxa"/>
          </w:tcPr>
          <w:p w14:paraId="025B8043" w14:textId="5EA301C0" w:rsidR="007837FB" w:rsidRPr="00CC2A32" w:rsidRDefault="00CC2A32" w:rsidP="0099559F">
            <w:pPr>
              <w:jc w:val="center"/>
            </w:pPr>
            <w:r w:rsidRPr="00CC2A32">
              <w:t>001 &amp; 002</w:t>
            </w:r>
          </w:p>
        </w:tc>
        <w:tc>
          <w:tcPr>
            <w:tcW w:w="2412" w:type="dxa"/>
          </w:tcPr>
          <w:p w14:paraId="0B54410B" w14:textId="3DAC8CAB" w:rsidR="007837FB" w:rsidRPr="00CC2A32" w:rsidRDefault="00CC2A32" w:rsidP="0099559F">
            <w:pPr>
              <w:jc w:val="center"/>
            </w:pPr>
            <w:r w:rsidRPr="00CC2A32">
              <w:t>9,040</w:t>
            </w:r>
          </w:p>
        </w:tc>
        <w:tc>
          <w:tcPr>
            <w:tcW w:w="4860" w:type="dxa"/>
          </w:tcPr>
          <w:p w14:paraId="3A4FE70A" w14:textId="715DE5DA" w:rsidR="007837FB" w:rsidRDefault="00CC2A32" w:rsidP="0099559F">
            <w:r w:rsidRPr="00CC2A32">
              <w:t>Natural Gas</w:t>
            </w:r>
          </w:p>
        </w:tc>
      </w:tr>
    </w:tbl>
    <w:p w14:paraId="59BF6A33" w14:textId="5E3C803F" w:rsidR="00CC2A32" w:rsidRDefault="00CC2A32" w:rsidP="00CC2A32">
      <w:pPr>
        <w:ind w:left="360"/>
      </w:pPr>
      <w:r w:rsidRPr="00C16FF6">
        <w:rPr>
          <w:szCs w:val="22"/>
        </w:rPr>
        <w:t>When a blend of fuel oil and natural gas is burned, the heat input is prorated based on the percent heat input of each fuel.</w:t>
      </w:r>
    </w:p>
    <w:p w14:paraId="4B27ED78" w14:textId="742B592C" w:rsidR="00051325" w:rsidRPr="00603823" w:rsidRDefault="007837FB" w:rsidP="001B2675">
      <w:pPr>
        <w:tabs>
          <w:tab w:val="left" w:pos="360"/>
        </w:tabs>
        <w:spacing w:after="120"/>
        <w:ind w:left="360" w:hanging="360"/>
      </w:pPr>
      <w:r>
        <w:tab/>
        <w:t>[Rules 62-4</w:t>
      </w:r>
      <w:r w:rsidRPr="00603823">
        <w:t>.160(2)</w:t>
      </w:r>
      <w:r w:rsidR="00CC2A32" w:rsidRPr="00603823">
        <w:t xml:space="preserve">, </w:t>
      </w:r>
      <w:r w:rsidRPr="00603823">
        <w:t>62-210.200(PTE)</w:t>
      </w:r>
      <w:r w:rsidR="00CC2A32" w:rsidRPr="00603823">
        <w:t>,</w:t>
      </w:r>
      <w:r w:rsidRPr="00603823">
        <w:t xml:space="preserve"> 62-214.330 &amp; 62-296.405, F.A.C.; and, Permit Nos.</w:t>
      </w:r>
      <w:r w:rsidR="00CC2A32" w:rsidRPr="00603823">
        <w:t xml:space="preserve"> AC43-4037 &amp; AC43-4038, as amended February 16, 1993</w:t>
      </w:r>
      <w:r w:rsidRPr="00603823">
        <w:t>]</w:t>
      </w:r>
      <w:bookmarkEnd w:id="21"/>
    </w:p>
    <w:p w14:paraId="644EFB39" w14:textId="51260A33" w:rsidR="00CC2A32" w:rsidRPr="00603823" w:rsidRDefault="00212D58" w:rsidP="005B0CC1">
      <w:pPr>
        <w:numPr>
          <w:ilvl w:val="0"/>
          <w:numId w:val="2"/>
        </w:numPr>
        <w:tabs>
          <w:tab w:val="left" w:pos="360"/>
          <w:tab w:val="num" w:pos="720"/>
        </w:tabs>
        <w:spacing w:after="120"/>
        <w:ind w:left="360" w:hanging="360"/>
      </w:pPr>
      <w:bookmarkStart w:id="22" w:name="_Hlk519774878"/>
      <w:bookmarkStart w:id="23" w:name="_Hlk523217595"/>
      <w:r w:rsidRPr="00603823">
        <w:rPr>
          <w:szCs w:val="22"/>
          <w:u w:val="single"/>
        </w:rPr>
        <w:t>Emissions Unit Operating Rate Limitation After Testing</w:t>
      </w:r>
      <w:r w:rsidRPr="00603823">
        <w:rPr>
          <w:szCs w:val="22"/>
        </w:rPr>
        <w:t xml:space="preserve">.  Testing of emissions shall be conducted with the </w:t>
      </w:r>
      <w:r w:rsidR="00E34FAB" w:rsidRPr="00603823">
        <w:rPr>
          <w:szCs w:val="22"/>
        </w:rPr>
        <w:t>e</w:t>
      </w:r>
      <w:r w:rsidRPr="00603823">
        <w:rPr>
          <w:szCs w:val="22"/>
        </w:rPr>
        <w:t>missions unit operating at testing capacity (i.e.,</w:t>
      </w:r>
      <w:r w:rsidR="00E87AFD" w:rsidRPr="00603823">
        <w:rPr>
          <w:szCs w:val="22"/>
        </w:rPr>
        <w:t xml:space="preserve"> at least</w:t>
      </w:r>
      <w:r w:rsidRPr="00603823">
        <w:rPr>
          <w:szCs w:val="22"/>
        </w:rPr>
        <w:t xml:space="preserve"> 90% of the maximum operation rate in Specific Condition </w:t>
      </w:r>
      <w:r w:rsidRPr="00603823">
        <w:rPr>
          <w:b/>
          <w:szCs w:val="22"/>
        </w:rPr>
        <w:fldChar w:fldCharType="begin"/>
      </w:r>
      <w:r w:rsidRPr="00603823">
        <w:rPr>
          <w:b/>
          <w:szCs w:val="22"/>
        </w:rPr>
        <w:instrText xml:space="preserve"> REF _Ref519695010 \r \h  \* MERGEFORMAT </w:instrText>
      </w:r>
      <w:r w:rsidRPr="00603823">
        <w:rPr>
          <w:b/>
          <w:szCs w:val="22"/>
        </w:rPr>
      </w:r>
      <w:r w:rsidRPr="00603823">
        <w:rPr>
          <w:b/>
          <w:szCs w:val="22"/>
        </w:rPr>
        <w:fldChar w:fldCharType="separate"/>
      </w:r>
      <w:r w:rsidR="00D31800">
        <w:rPr>
          <w:b/>
          <w:szCs w:val="22"/>
        </w:rPr>
        <w:t>A.1</w:t>
      </w:r>
      <w:r w:rsidRPr="00603823">
        <w:rPr>
          <w:b/>
          <w:szCs w:val="22"/>
        </w:rPr>
        <w:fldChar w:fldCharType="end"/>
      </w:r>
      <w:r w:rsidRPr="00603823">
        <w:rPr>
          <w:szCs w:val="22"/>
        </w:rPr>
        <w:t>).</w:t>
      </w:r>
      <w:r w:rsidR="00D770B1" w:rsidRPr="00603823">
        <w:rPr>
          <w:szCs w:val="22"/>
        </w:rPr>
        <w:t xml:space="preserve">  If it is impracticable to test at the testing capacity, the emissions unit may be tested at less than the testing capacity.  If an emissions unit is tested</w:t>
      </w:r>
      <w:r w:rsidRPr="00603823">
        <w:rPr>
          <w:szCs w:val="22"/>
        </w:rPr>
        <w:t xml:space="preserve"> </w:t>
      </w:r>
      <w:r w:rsidR="00D770B1" w:rsidRPr="00603823">
        <w:rPr>
          <w:szCs w:val="22"/>
        </w:rPr>
        <w:t>at less than the testing capacity, another emissions test shall be conducted and completed no later than 60 days after the emissions unit exceeds 110% of the capacity at which its most recent emissions test was conducted.</w:t>
      </w:r>
      <w:r w:rsidRPr="00603823">
        <w:rPr>
          <w:szCs w:val="22"/>
        </w:rPr>
        <w:t xml:space="preserve"> See the related testing provisions in Appendix TR, Facility-wide Testing Requirements.  </w:t>
      </w:r>
      <w:bookmarkEnd w:id="22"/>
      <w:r w:rsidR="00E87AFD" w:rsidRPr="00603823">
        <w:rPr>
          <w:szCs w:val="22"/>
        </w:rPr>
        <w:t>[Rules 62-297.310(3)(b) &amp; (4), F.A.C.]</w:t>
      </w:r>
    </w:p>
    <w:bookmarkEnd w:id="23"/>
    <w:p w14:paraId="5923FFC7" w14:textId="75CFBEF7" w:rsidR="00151782" w:rsidRPr="00164C27" w:rsidRDefault="001B2675" w:rsidP="005B0CC1">
      <w:pPr>
        <w:numPr>
          <w:ilvl w:val="0"/>
          <w:numId w:val="2"/>
        </w:numPr>
        <w:tabs>
          <w:tab w:val="num" w:pos="720"/>
        </w:tabs>
      </w:pPr>
      <w:r>
        <w:rPr>
          <w:u w:val="single"/>
        </w:rPr>
        <w:t>Methods of Operation</w:t>
      </w:r>
      <w:r>
        <w:t>.</w:t>
      </w:r>
    </w:p>
    <w:p w14:paraId="55186263" w14:textId="6009115E" w:rsidR="008F001C" w:rsidRPr="00184AFA" w:rsidRDefault="00184AFA" w:rsidP="00061DE9">
      <w:pPr>
        <w:pStyle w:val="BodyText3"/>
        <w:numPr>
          <w:ilvl w:val="0"/>
          <w:numId w:val="44"/>
        </w:numPr>
        <w:tabs>
          <w:tab w:val="left" w:pos="360"/>
          <w:tab w:val="left" w:pos="720"/>
        </w:tabs>
        <w:spacing w:after="0"/>
        <w:ind w:left="720"/>
        <w:rPr>
          <w:sz w:val="22"/>
          <w:szCs w:val="22"/>
        </w:rPr>
      </w:pPr>
      <w:r w:rsidRPr="00184AFA">
        <w:rPr>
          <w:i/>
          <w:sz w:val="22"/>
          <w:szCs w:val="22"/>
        </w:rPr>
        <w:t>Fuels</w:t>
      </w:r>
      <w:r w:rsidRPr="00184AFA">
        <w:rPr>
          <w:sz w:val="22"/>
          <w:szCs w:val="22"/>
        </w:rPr>
        <w:t>.  The only fuels allowed to be burned are low sulfur fuel oil containing a maximum of 0.7 percent (%) sulfur content, by weight; natural gas; or, a mixture of low sulfur fuel oil containing a maximum of 1.0% sulfur content, by weight, and natural gas in a ratio that shall not exceed the SO</w:t>
      </w:r>
      <w:r w:rsidRPr="00184AFA">
        <w:rPr>
          <w:sz w:val="22"/>
          <w:szCs w:val="22"/>
          <w:vertAlign w:val="subscript"/>
        </w:rPr>
        <w:t>2</w:t>
      </w:r>
      <w:r w:rsidRPr="00184AFA">
        <w:rPr>
          <w:sz w:val="22"/>
          <w:szCs w:val="22"/>
        </w:rPr>
        <w:t xml:space="preserve"> emission limiting standard of 0.80 pounds per MMBtu (lb/MMBtu) heat input.</w:t>
      </w:r>
    </w:p>
    <w:p w14:paraId="01B6866A" w14:textId="26AFDE6E" w:rsidR="00151782" w:rsidRPr="00184AFA" w:rsidRDefault="00184AFA" w:rsidP="00061DE9">
      <w:pPr>
        <w:pStyle w:val="BodyText3"/>
        <w:numPr>
          <w:ilvl w:val="0"/>
          <w:numId w:val="44"/>
        </w:numPr>
        <w:tabs>
          <w:tab w:val="left" w:pos="360"/>
          <w:tab w:val="left" w:pos="720"/>
        </w:tabs>
        <w:spacing w:after="0"/>
        <w:ind w:left="720"/>
        <w:rPr>
          <w:sz w:val="22"/>
          <w:szCs w:val="22"/>
        </w:rPr>
      </w:pPr>
      <w:r w:rsidRPr="00184AFA">
        <w:rPr>
          <w:i/>
          <w:sz w:val="22"/>
          <w:szCs w:val="22"/>
        </w:rPr>
        <w:t>Additives</w:t>
      </w:r>
      <w:r w:rsidRPr="00184AFA">
        <w:rPr>
          <w:sz w:val="22"/>
          <w:szCs w:val="22"/>
        </w:rPr>
        <w:t>.  Boiler conditioning additives, such as magnesium hydroxide (</w:t>
      </w:r>
      <w:proofErr w:type="spellStart"/>
      <w:r w:rsidRPr="00184AFA">
        <w:rPr>
          <w:sz w:val="22"/>
          <w:szCs w:val="22"/>
        </w:rPr>
        <w:t>MgOH</w:t>
      </w:r>
      <w:proofErr w:type="spellEnd"/>
      <w:r w:rsidRPr="00184AFA">
        <w:rPr>
          <w:sz w:val="22"/>
          <w:szCs w:val="22"/>
        </w:rPr>
        <w:t>) may be added to the boilers as needed when firing residual oil.</w:t>
      </w:r>
    </w:p>
    <w:p w14:paraId="683786DC" w14:textId="2C4F236C" w:rsidR="004F232F" w:rsidRPr="00F23885" w:rsidRDefault="00F23885" w:rsidP="00061DE9">
      <w:pPr>
        <w:pStyle w:val="BodyText3"/>
        <w:numPr>
          <w:ilvl w:val="0"/>
          <w:numId w:val="44"/>
        </w:numPr>
        <w:tabs>
          <w:tab w:val="left" w:pos="360"/>
          <w:tab w:val="left" w:pos="720"/>
        </w:tabs>
        <w:spacing w:after="0"/>
        <w:ind w:left="720"/>
        <w:rPr>
          <w:bCs/>
          <w:sz w:val="22"/>
          <w:szCs w:val="22"/>
        </w:rPr>
      </w:pPr>
      <w:r w:rsidRPr="00F23885">
        <w:rPr>
          <w:i/>
          <w:sz w:val="22"/>
          <w:szCs w:val="22"/>
        </w:rPr>
        <w:t>Evaporation of Spent Boiler Cleaning Chemicals</w:t>
      </w:r>
      <w:r w:rsidRPr="00F23885">
        <w:rPr>
          <w:sz w:val="22"/>
          <w:szCs w:val="22"/>
        </w:rPr>
        <w:t>.  Spent non-hazardous boiler chemical cleaning solution and rinses are allowed to be disposed of by evaporation in the boilers.</w:t>
      </w:r>
    </w:p>
    <w:p w14:paraId="353D8B27" w14:textId="321FAC7C" w:rsidR="00151782" w:rsidRPr="00603823" w:rsidRDefault="004F232F" w:rsidP="004F232F">
      <w:pPr>
        <w:tabs>
          <w:tab w:val="left" w:pos="360"/>
          <w:tab w:val="left" w:pos="720"/>
        </w:tabs>
        <w:spacing w:after="120"/>
        <w:ind w:left="360"/>
      </w:pPr>
      <w:r w:rsidRPr="00603823">
        <w:t xml:space="preserve">[Rule 62-213.410, F.A.C.; </w:t>
      </w:r>
      <w:r w:rsidR="00F23885" w:rsidRPr="00603823">
        <w:t>and, Permit Nos. AC43-4037 &amp; AC43-4038, as amended February 16, 1993</w:t>
      </w:r>
      <w:r w:rsidRPr="00603823">
        <w:t>]</w:t>
      </w:r>
    </w:p>
    <w:p w14:paraId="151019DB" w14:textId="19A2F8B0" w:rsidR="00CD10E7" w:rsidRPr="00927F07" w:rsidRDefault="00F23885" w:rsidP="005B0CC1">
      <w:pPr>
        <w:numPr>
          <w:ilvl w:val="0"/>
          <w:numId w:val="2"/>
        </w:numPr>
        <w:tabs>
          <w:tab w:val="left" w:pos="360"/>
          <w:tab w:val="num" w:pos="720"/>
        </w:tabs>
        <w:spacing w:after="120"/>
        <w:ind w:left="360" w:hanging="360"/>
      </w:pPr>
      <w:r w:rsidRPr="00C16FF6">
        <w:rPr>
          <w:szCs w:val="22"/>
          <w:u w:val="single"/>
        </w:rPr>
        <w:t>Hours of Operation</w:t>
      </w:r>
      <w:r w:rsidRPr="00C16FF6">
        <w:rPr>
          <w:szCs w:val="22"/>
        </w:rPr>
        <w:t>.  These emissions units may operate continuously (8,760 hours/year).  [Rule 62-210.200(PTE), F.A.C.]</w:t>
      </w:r>
      <w:r w:rsidR="00927F07">
        <w:rPr>
          <w:szCs w:val="22"/>
        </w:rPr>
        <w:t xml:space="preserve"> </w:t>
      </w:r>
    </w:p>
    <w:p w14:paraId="25BCB35D" w14:textId="714BCE8F" w:rsidR="00E406AC" w:rsidRDefault="00BD6B10" w:rsidP="00CD10E7">
      <w:pPr>
        <w:tabs>
          <w:tab w:val="left" w:pos="0"/>
        </w:tabs>
        <w:suppressAutoHyphens/>
        <w:spacing w:before="120" w:after="120"/>
        <w:rPr>
          <w:b/>
          <w:u w:val="single"/>
        </w:rPr>
      </w:pPr>
      <w:r w:rsidRPr="00BD6B10">
        <w:rPr>
          <w:b/>
          <w:u w:val="single"/>
        </w:rPr>
        <w:t>Control</w:t>
      </w:r>
      <w:r>
        <w:rPr>
          <w:b/>
          <w:u w:val="single"/>
        </w:rPr>
        <w:t xml:space="preserve"> </w:t>
      </w:r>
      <w:r w:rsidRPr="00603823">
        <w:rPr>
          <w:b/>
          <w:u w:val="single"/>
        </w:rPr>
        <w:t>Technology</w:t>
      </w:r>
    </w:p>
    <w:p w14:paraId="5339B13A" w14:textId="131DE907" w:rsidR="00E406AC" w:rsidRPr="00E406AC" w:rsidRDefault="00BD6B10" w:rsidP="00BD6B10">
      <w:pPr>
        <w:numPr>
          <w:ilvl w:val="0"/>
          <w:numId w:val="2"/>
        </w:numPr>
        <w:tabs>
          <w:tab w:val="left" w:pos="360"/>
          <w:tab w:val="left" w:pos="720"/>
        </w:tabs>
        <w:spacing w:after="120"/>
        <w:ind w:left="360" w:hanging="360"/>
      </w:pPr>
      <w:r w:rsidRPr="00FE0A5F">
        <w:rPr>
          <w:color w:val="000000"/>
          <w:u w:val="single"/>
        </w:rPr>
        <w:t>Circumvention</w:t>
      </w:r>
      <w:r w:rsidRPr="00DD7EF4">
        <w:rPr>
          <w:color w:val="000000"/>
        </w:rPr>
        <w:t>.  The permittee shall not circumvent the ESP or allow the emission of air pollutants without this equipment operating properly per the manufacturer’s operating instructions when firing oil.  [Rule 62-210.650, F.A.C.; and, Permit No. 0850001-029-AC.]</w:t>
      </w:r>
    </w:p>
    <w:p w14:paraId="6750F1FB" w14:textId="77777777" w:rsidR="00CD10E7" w:rsidRDefault="00CD10E7" w:rsidP="00CD10E7">
      <w:pPr>
        <w:tabs>
          <w:tab w:val="left" w:pos="0"/>
        </w:tabs>
        <w:suppressAutoHyphens/>
        <w:spacing w:before="120" w:after="120"/>
        <w:rPr>
          <w:b/>
          <w:u w:val="single"/>
        </w:rPr>
      </w:pPr>
      <w:r w:rsidRPr="00B33C23">
        <w:rPr>
          <w:b/>
          <w:u w:val="single"/>
        </w:rPr>
        <w:t>Emission Limitations and Standards</w:t>
      </w:r>
    </w:p>
    <w:p w14:paraId="2F4409C4" w14:textId="0489422B" w:rsidR="00244CBE" w:rsidRPr="00244CBE" w:rsidRDefault="00244CBE" w:rsidP="00CD10E7">
      <w:pPr>
        <w:tabs>
          <w:tab w:val="left" w:pos="0"/>
        </w:tabs>
        <w:suppressAutoHyphens/>
        <w:spacing w:before="120" w:after="120"/>
      </w:pPr>
      <w:r w:rsidRPr="0049740F">
        <w:t>Unless otherwise specified, the averaging t</w:t>
      </w:r>
      <w:r w:rsidRPr="00BD6B10">
        <w:t>imes for Specific Conditions</w:t>
      </w:r>
      <w:r w:rsidRPr="0049740F">
        <w:t xml:space="preserve"> </w:t>
      </w:r>
      <w:r w:rsidR="00B75A63">
        <w:rPr>
          <w:b/>
        </w:rPr>
        <w:t>A.8</w:t>
      </w:r>
      <w:r w:rsidR="00B75A63" w:rsidRPr="00B75A63">
        <w:t>-</w:t>
      </w:r>
      <w:r w:rsidR="00B75A63">
        <w:rPr>
          <w:b/>
        </w:rPr>
        <w:t>A.14</w:t>
      </w:r>
      <w:r w:rsidR="00B75A63">
        <w:t xml:space="preserve"> </w:t>
      </w:r>
      <w:r w:rsidRPr="00BD6B10">
        <w:t>are</w:t>
      </w:r>
      <w:r w:rsidRPr="0049740F">
        <w:t xml:space="preserve"> based on the specified averaging time of the applicable test method.</w:t>
      </w:r>
    </w:p>
    <w:p w14:paraId="603781B6" w14:textId="3C62625F" w:rsidR="00827060" w:rsidRPr="00BD6B10" w:rsidRDefault="00BD6B10" w:rsidP="005B0CC1">
      <w:pPr>
        <w:numPr>
          <w:ilvl w:val="0"/>
          <w:numId w:val="2"/>
        </w:numPr>
        <w:tabs>
          <w:tab w:val="num" w:pos="720"/>
          <w:tab w:val="left" w:pos="1080"/>
          <w:tab w:val="left" w:pos="1440"/>
        </w:tabs>
        <w:spacing w:after="120"/>
        <w:ind w:left="360" w:hanging="360"/>
      </w:pPr>
      <w:bookmarkStart w:id="24" w:name="_Ref504048275"/>
      <w:r w:rsidRPr="00DD7EF4">
        <w:rPr>
          <w:color w:val="000000"/>
          <w:szCs w:val="22"/>
          <w:u w:val="single"/>
        </w:rPr>
        <w:t>PM/PM</w:t>
      </w:r>
      <w:r w:rsidRPr="00DD7EF4">
        <w:rPr>
          <w:color w:val="000000"/>
          <w:szCs w:val="22"/>
          <w:u w:val="single"/>
          <w:vertAlign w:val="subscript"/>
        </w:rPr>
        <w:t>10</w:t>
      </w:r>
      <w:r w:rsidRPr="00DD7EF4">
        <w:rPr>
          <w:color w:val="000000"/>
          <w:szCs w:val="22"/>
          <w:u w:val="single"/>
        </w:rPr>
        <w:t xml:space="preserve"> Emissions Limit</w:t>
      </w:r>
      <w:r w:rsidRPr="00DD7EF4">
        <w:rPr>
          <w:color w:val="000000"/>
          <w:szCs w:val="22"/>
        </w:rPr>
        <w:t>.  PM/PM</w:t>
      </w:r>
      <w:r w:rsidRPr="00DD7EF4">
        <w:rPr>
          <w:color w:val="000000"/>
          <w:szCs w:val="22"/>
          <w:vertAlign w:val="subscript"/>
        </w:rPr>
        <w:t>10</w:t>
      </w:r>
      <w:r w:rsidRPr="00DD7EF4">
        <w:rPr>
          <w:color w:val="000000"/>
          <w:szCs w:val="22"/>
        </w:rPr>
        <w:t xml:space="preserve"> emissions shall not exceed 0.03 pounds per million Btu of heat input (lb/MMBtu) except for periods of startup or shutdown.  [Permit No. 0850001-029-AC; 40 CFR 63 Subpart UUUUU, Table 2; and, </w:t>
      </w:r>
      <w:r w:rsidRPr="00DD7EF4">
        <w:rPr>
          <w:szCs w:val="22"/>
        </w:rPr>
        <w:t>Rules 62-210.700(1) &amp; (2), F.A.C.</w:t>
      </w:r>
      <w:r w:rsidRPr="00DD7EF4">
        <w:rPr>
          <w:color w:val="000000"/>
          <w:szCs w:val="22"/>
        </w:rPr>
        <w:t>]</w:t>
      </w:r>
      <w:bookmarkEnd w:id="24"/>
    </w:p>
    <w:p w14:paraId="4C781755" w14:textId="04403ACA" w:rsidR="009D03DD" w:rsidRPr="00603823" w:rsidRDefault="00FA02A9" w:rsidP="005B0CC1">
      <w:pPr>
        <w:numPr>
          <w:ilvl w:val="0"/>
          <w:numId w:val="2"/>
        </w:numPr>
        <w:tabs>
          <w:tab w:val="num" w:pos="720"/>
          <w:tab w:val="left" w:pos="1080"/>
          <w:tab w:val="left" w:pos="1440"/>
        </w:tabs>
        <w:spacing w:after="120"/>
        <w:ind w:left="360" w:hanging="360"/>
      </w:pPr>
      <w:r w:rsidRPr="00DD7EF4">
        <w:rPr>
          <w:color w:val="000000"/>
          <w:szCs w:val="22"/>
          <w:u w:val="single"/>
        </w:rPr>
        <w:t>PM/PM</w:t>
      </w:r>
      <w:r w:rsidRPr="00DD7EF4">
        <w:rPr>
          <w:color w:val="000000"/>
          <w:szCs w:val="22"/>
          <w:u w:val="single"/>
          <w:vertAlign w:val="subscript"/>
        </w:rPr>
        <w:t>10</w:t>
      </w:r>
      <w:r w:rsidRPr="00DD7EF4">
        <w:rPr>
          <w:color w:val="000000"/>
          <w:szCs w:val="22"/>
          <w:u w:val="single"/>
        </w:rPr>
        <w:t xml:space="preserve"> Emissions Limit During Soot Blowing and Load Change</w:t>
      </w:r>
      <w:r w:rsidRPr="00DD7EF4">
        <w:rPr>
          <w:color w:val="000000"/>
          <w:szCs w:val="22"/>
        </w:rPr>
        <w:t>.  PM/PM</w:t>
      </w:r>
      <w:r w:rsidRPr="00DD7EF4">
        <w:rPr>
          <w:color w:val="000000"/>
          <w:szCs w:val="22"/>
          <w:vertAlign w:val="subscript"/>
        </w:rPr>
        <w:t>10</w:t>
      </w:r>
      <w:r w:rsidRPr="00DD7EF4">
        <w:rPr>
          <w:color w:val="000000"/>
          <w:szCs w:val="22"/>
        </w:rPr>
        <w:t xml:space="preserve"> emissions shall not exceed 0.10 lb/mmBtu during the 3-hours in any 24-hour period of excess emissions allowed for boiler cleaning (soot blowing) and load change.  A load change occurs when the operational capacity of the unit is in the 10% to 100% capacity range, other than startup or shutdown, which exceeds 10% of the unit’s rated capacity and which occurs at a rate of 0.5% per minute or more.  [Rule 62-210.700</w:t>
      </w:r>
      <w:r w:rsidRPr="00603823">
        <w:rPr>
          <w:color w:val="000000"/>
          <w:szCs w:val="22"/>
        </w:rPr>
        <w:t>(3), F.A.C.; and, Permit No. 0850001-029-AC]</w:t>
      </w:r>
    </w:p>
    <w:p w14:paraId="3623E727" w14:textId="6257E5E7" w:rsidR="009D03DD" w:rsidRPr="00BD6B10" w:rsidRDefault="00F109E2" w:rsidP="005B0CC1">
      <w:pPr>
        <w:numPr>
          <w:ilvl w:val="0"/>
          <w:numId w:val="2"/>
        </w:numPr>
        <w:tabs>
          <w:tab w:val="num" w:pos="720"/>
          <w:tab w:val="left" w:pos="1080"/>
          <w:tab w:val="left" w:pos="1440"/>
        </w:tabs>
        <w:spacing w:after="120"/>
        <w:ind w:left="360" w:hanging="360"/>
      </w:pPr>
      <w:r w:rsidRPr="00C71539">
        <w:rPr>
          <w:szCs w:val="22"/>
          <w:u w:val="single"/>
        </w:rPr>
        <w:t>PM Emissions</w:t>
      </w:r>
      <w:r w:rsidRPr="00C71539">
        <w:rPr>
          <w:szCs w:val="22"/>
        </w:rPr>
        <w:t>.  As determined by stack test</w:t>
      </w:r>
      <w:r w:rsidRPr="00C71539">
        <w:rPr>
          <w:color w:val="1F497D"/>
          <w:szCs w:val="22"/>
        </w:rPr>
        <w:t>s</w:t>
      </w:r>
      <w:r w:rsidRPr="00C71539">
        <w:rPr>
          <w:szCs w:val="22"/>
        </w:rPr>
        <w:t xml:space="preserve">, </w:t>
      </w:r>
      <w:r w:rsidRPr="00C71539">
        <w:t xml:space="preserve">the maximum emission limit for </w:t>
      </w:r>
      <w:r w:rsidRPr="00603823">
        <w:t>PM</w:t>
      </w:r>
      <w:r>
        <w:t xml:space="preserve"> </w:t>
      </w:r>
      <w:r w:rsidRPr="00C71539">
        <w:t>contained in the gases discharged</w:t>
      </w:r>
      <w:r w:rsidRPr="00C71539">
        <w:rPr>
          <w:szCs w:val="22"/>
        </w:rPr>
        <w:t xml:space="preserve"> </w:t>
      </w:r>
      <w:r w:rsidRPr="00C71539">
        <w:t>to the atmosphere</w:t>
      </w:r>
      <w:r w:rsidRPr="00C71539">
        <w:rPr>
          <w:szCs w:val="22"/>
        </w:rPr>
        <w:t xml:space="preserve"> from each of these emissions units shall not exceed 865 pounds per hour (lb/hr) when firing 100% oil.  [Permit Nos. AC43-4031 &amp; AC43-4038, as amended 2/16/</w:t>
      </w:r>
      <w:r w:rsidRPr="009F1367">
        <w:rPr>
          <w:szCs w:val="22"/>
        </w:rPr>
        <w:t>93.]</w:t>
      </w:r>
    </w:p>
    <w:p w14:paraId="475E75AF" w14:textId="5A6D0CBB" w:rsidR="00F95E85" w:rsidRPr="00603823" w:rsidRDefault="00D96A84" w:rsidP="005B0CC1">
      <w:pPr>
        <w:numPr>
          <w:ilvl w:val="0"/>
          <w:numId w:val="2"/>
        </w:numPr>
        <w:tabs>
          <w:tab w:val="num" w:pos="720"/>
          <w:tab w:val="left" w:pos="1080"/>
          <w:tab w:val="left" w:pos="1440"/>
        </w:tabs>
        <w:spacing w:after="120"/>
        <w:ind w:left="360" w:hanging="360"/>
      </w:pPr>
      <w:bookmarkStart w:id="25" w:name="_Hlk519776981"/>
      <w:r w:rsidRPr="00603823">
        <w:rPr>
          <w:szCs w:val="22"/>
          <w:u w:val="single"/>
        </w:rPr>
        <w:t>Visible Emissions</w:t>
      </w:r>
      <w:r w:rsidR="00F95E85" w:rsidRPr="00603823">
        <w:rPr>
          <w:szCs w:val="22"/>
        </w:rPr>
        <w:t xml:space="preserve">.  </w:t>
      </w:r>
      <w:r w:rsidR="00F95E85" w:rsidRPr="00603823">
        <w:t>The maximum emission limit for opacity exhibited by the gases discharged</w:t>
      </w:r>
      <w:r w:rsidR="00F95E85" w:rsidRPr="00603823">
        <w:rPr>
          <w:szCs w:val="22"/>
        </w:rPr>
        <w:t xml:space="preserve"> into the atmosphere from each of these emissions units any gases which exhibit greater than 20% opacity except for one six-minute period per hour of not more than 27% opacity.</w:t>
      </w:r>
      <w:r w:rsidR="002243A3" w:rsidRPr="00603823">
        <w:rPr>
          <w:szCs w:val="22"/>
        </w:rPr>
        <w:t xml:space="preserve">  This standard shall apply at all times except during periods of startup, shutdown</w:t>
      </w:r>
      <w:r w:rsidR="004C59EB" w:rsidRPr="00603823">
        <w:rPr>
          <w:szCs w:val="22"/>
        </w:rPr>
        <w:t>, malfunction and as otherwise provided in NSPS Subpart D (see Appendix NSPS Subpart D).</w:t>
      </w:r>
      <w:r w:rsidR="00F95E85" w:rsidRPr="00603823">
        <w:rPr>
          <w:szCs w:val="22"/>
        </w:rPr>
        <w:t xml:space="preserve">  [40 CFR</w:t>
      </w:r>
      <w:r w:rsidR="004C59EB" w:rsidRPr="00603823">
        <w:rPr>
          <w:szCs w:val="22"/>
        </w:rPr>
        <w:t xml:space="preserve"> 60.11(c) &amp;</w:t>
      </w:r>
      <w:r w:rsidR="00F95E85" w:rsidRPr="00603823">
        <w:rPr>
          <w:szCs w:val="22"/>
        </w:rPr>
        <w:t xml:space="preserve"> 60.42(a)(2); and, Permit Nos. AC43-4031 &amp; AC43-4038, as amended 2/16/93</w:t>
      </w:r>
      <w:r w:rsidR="004C59EB" w:rsidRPr="00603823">
        <w:rPr>
          <w:szCs w:val="22"/>
        </w:rPr>
        <w:t>]</w:t>
      </w:r>
      <w:bookmarkEnd w:id="25"/>
    </w:p>
    <w:p w14:paraId="23F31AAB" w14:textId="5484E5E3" w:rsidR="004C59EB" w:rsidRDefault="004C59EB" w:rsidP="004C59EB">
      <w:pPr>
        <w:numPr>
          <w:ilvl w:val="0"/>
          <w:numId w:val="2"/>
        </w:numPr>
        <w:tabs>
          <w:tab w:val="num" w:pos="720"/>
          <w:tab w:val="left" w:pos="1080"/>
          <w:tab w:val="left" w:pos="1440"/>
        </w:tabs>
        <w:ind w:left="360" w:hanging="360"/>
      </w:pPr>
      <w:bookmarkStart w:id="26" w:name="_Ref519845408"/>
      <w:bookmarkStart w:id="27" w:name="_Hlk519777087"/>
      <w:r w:rsidRPr="00C16FF6">
        <w:rPr>
          <w:szCs w:val="22"/>
          <w:u w:val="single"/>
        </w:rPr>
        <w:t>SO</w:t>
      </w:r>
      <w:r w:rsidRPr="00C16FF6">
        <w:rPr>
          <w:szCs w:val="22"/>
          <w:u w:val="single"/>
          <w:vertAlign w:val="subscript"/>
        </w:rPr>
        <w:t>2</w:t>
      </w:r>
      <w:r w:rsidRPr="00C16FF6">
        <w:rPr>
          <w:szCs w:val="22"/>
          <w:u w:val="single"/>
        </w:rPr>
        <w:t xml:space="preserve"> Emissions</w:t>
      </w:r>
      <w:r w:rsidRPr="00C16FF6">
        <w:rPr>
          <w:szCs w:val="22"/>
        </w:rPr>
        <w:t xml:space="preserve">.  </w:t>
      </w:r>
      <w:r w:rsidRPr="00C16FF6">
        <w:t>As determined by CEMS or fuel sampling and analysis, the maximum emission limit for sulfur dioxide contained in the gases discharged to the atmosphere from each of these emissions units shall not exceed:</w:t>
      </w:r>
      <w:bookmarkEnd w:id="26"/>
    </w:p>
    <w:p w14:paraId="097413BA" w14:textId="3E5765B6" w:rsidR="004C59EB" w:rsidRPr="00F5002F" w:rsidRDefault="004C59EB" w:rsidP="00061DE9">
      <w:pPr>
        <w:pStyle w:val="ListParagraph"/>
        <w:numPr>
          <w:ilvl w:val="0"/>
          <w:numId w:val="45"/>
        </w:numPr>
        <w:tabs>
          <w:tab w:val="left" w:pos="1080"/>
          <w:tab w:val="left" w:pos="1440"/>
        </w:tabs>
        <w:spacing w:after="120"/>
      </w:pPr>
      <w:r w:rsidRPr="00C16FF6">
        <w:t xml:space="preserve">340 nanograms per </w:t>
      </w:r>
      <w:r w:rsidRPr="00F5002F">
        <w:t>joule</w:t>
      </w:r>
      <w:r w:rsidR="00021559" w:rsidRPr="00F5002F">
        <w:t xml:space="preserve"> (ng/J)</w:t>
      </w:r>
      <w:r w:rsidRPr="00F5002F">
        <w:t xml:space="preserve"> heat input (0.80 lb/MMBtu) derived from liquid fossil fuel</w:t>
      </w:r>
      <w:r w:rsidR="00021559" w:rsidRPr="00F5002F">
        <w:t>.</w:t>
      </w:r>
    </w:p>
    <w:p w14:paraId="36FC3894" w14:textId="02050F9B" w:rsidR="004C59EB" w:rsidRPr="00F5002F" w:rsidRDefault="004C59EB" w:rsidP="008C48E2">
      <w:pPr>
        <w:pStyle w:val="ListParagraph"/>
        <w:numPr>
          <w:ilvl w:val="0"/>
          <w:numId w:val="45"/>
        </w:numPr>
        <w:tabs>
          <w:tab w:val="left" w:pos="1080"/>
          <w:tab w:val="left" w:pos="1440"/>
        </w:tabs>
        <w:spacing w:after="60"/>
      </w:pPr>
      <w:r w:rsidRPr="00F5002F">
        <w:rPr>
          <w:szCs w:val="22"/>
        </w:rPr>
        <w:t>In addition, emissions shall not exceed 6,920 lb/hr when firing 100% oil.</w:t>
      </w:r>
    </w:p>
    <w:p w14:paraId="23BB6C95" w14:textId="26E7BC40" w:rsidR="00D4477E" w:rsidRPr="00F5002F" w:rsidRDefault="004C59EB" w:rsidP="004C59EB">
      <w:pPr>
        <w:tabs>
          <w:tab w:val="left" w:pos="1080"/>
          <w:tab w:val="left" w:pos="1440"/>
        </w:tabs>
        <w:spacing w:after="120"/>
        <w:ind w:left="360"/>
      </w:pPr>
      <w:r w:rsidRPr="00F5002F">
        <w:t>Compliance shall be based on the total heat input from all fossil fuels burned, including gaseous fuels.</w:t>
      </w:r>
      <w:r w:rsidR="00D4477E" w:rsidRPr="00F5002F">
        <w:t xml:space="preserve">  When different fuels are burned simultaneously in any combination, the applicable standard (in ng/J) shall be determined by proration using the following formula:</w:t>
      </w:r>
    </w:p>
    <w:p w14:paraId="232DB60C" w14:textId="107A62F5" w:rsidR="00D4477E" w:rsidRPr="00F5002F" w:rsidRDefault="00D4477E" w:rsidP="004C59EB">
      <w:pPr>
        <w:tabs>
          <w:tab w:val="left" w:pos="1080"/>
          <w:tab w:val="left" w:pos="1440"/>
        </w:tabs>
        <w:spacing w:after="120"/>
        <w:ind w:left="360"/>
      </w:pPr>
      <m:oMathPara>
        <m:oMathParaPr>
          <m:jc m:val="left"/>
        </m:oMathParaPr>
        <m:oMath>
          <m:r>
            <w:rPr>
              <w:rFonts w:ascii="Cambria Math" w:hAnsi="Cambria Math"/>
            </w:rPr>
            <m:t>P</m:t>
          </m:r>
          <m:sSub>
            <m:sSubPr>
              <m:ctrlPr>
                <w:rPr>
                  <w:rFonts w:ascii="Cambria Math" w:hAnsi="Cambria Math"/>
                  <w:i/>
                </w:rPr>
              </m:ctrlPr>
            </m:sSubPr>
            <m:e>
              <m:r>
                <w:rPr>
                  <w:rFonts w:ascii="Cambria Math" w:hAnsi="Cambria Math"/>
                </w:rPr>
                <m:t>S</m:t>
              </m:r>
            </m:e>
            <m:sub>
              <m:sSub>
                <m:sSubPr>
                  <m:ctrlPr>
                    <w:rPr>
                      <w:rFonts w:ascii="Cambria Math" w:hAnsi="Cambria Math"/>
                      <w:i/>
                    </w:rPr>
                  </m:ctrlPr>
                </m:sSubPr>
                <m:e>
                  <m:r>
                    <w:rPr>
                      <w:rFonts w:ascii="Cambria Math" w:hAnsi="Cambria Math"/>
                    </w:rPr>
                    <m:t>SO</m:t>
                  </m:r>
                </m:e>
                <m:sub>
                  <m:r>
                    <w:rPr>
                      <w:rFonts w:ascii="Cambria Math" w:hAnsi="Cambria Math"/>
                    </w:rPr>
                    <m:t>2</m:t>
                  </m:r>
                </m:sub>
              </m:sSub>
            </m:sub>
          </m:sSub>
          <m:r>
            <w:rPr>
              <w:rFonts w:ascii="Cambria Math" w:hAnsi="Cambria Math"/>
            </w:rPr>
            <m:t>=</m:t>
          </m:r>
          <m:f>
            <m:fPr>
              <m:ctrlPr>
                <w:rPr>
                  <w:rFonts w:ascii="Cambria Math" w:hAnsi="Cambria Math"/>
                  <w:i/>
                </w:rPr>
              </m:ctrlPr>
            </m:fPr>
            <m:num>
              <m:r>
                <w:rPr>
                  <w:rFonts w:ascii="Cambria Math" w:hAnsi="Cambria Math"/>
                </w:rPr>
                <m:t>y</m:t>
              </m:r>
              <m:d>
                <m:dPr>
                  <m:ctrlPr>
                    <w:rPr>
                      <w:rFonts w:ascii="Cambria Math" w:hAnsi="Cambria Math"/>
                      <w:i/>
                    </w:rPr>
                  </m:ctrlPr>
                </m:dPr>
                <m:e>
                  <m:r>
                    <w:rPr>
                      <w:rFonts w:ascii="Cambria Math" w:hAnsi="Cambria Math"/>
                    </w:rPr>
                    <m:t>340</m:t>
                  </m:r>
                </m:e>
              </m:d>
              <m:r>
                <w:rPr>
                  <w:rFonts w:ascii="Cambria Math" w:hAnsi="Cambria Math"/>
                </w:rPr>
                <m:t>+z(520)</m:t>
              </m:r>
            </m:num>
            <m:den>
              <m:r>
                <w:rPr>
                  <w:rFonts w:ascii="Cambria Math" w:hAnsi="Cambria Math"/>
                </w:rPr>
                <m:t>(y+z)</m:t>
              </m:r>
            </m:den>
          </m:f>
        </m:oMath>
      </m:oMathPara>
    </w:p>
    <w:p w14:paraId="4232FAA0" w14:textId="23B8279B" w:rsidR="00D4477E" w:rsidRPr="00F5002F" w:rsidRDefault="00D4477E" w:rsidP="004C59EB">
      <w:pPr>
        <w:tabs>
          <w:tab w:val="left" w:pos="1080"/>
          <w:tab w:val="left" w:pos="1440"/>
        </w:tabs>
        <w:spacing w:after="120"/>
        <w:ind w:left="360"/>
      </w:pPr>
      <w:r w:rsidRPr="00F5002F">
        <w:t>Where:</w:t>
      </w:r>
    </w:p>
    <w:p w14:paraId="6AD42213" w14:textId="17295BFD" w:rsidR="00D4477E" w:rsidRPr="00F5002F" w:rsidRDefault="00D4477E" w:rsidP="00D4477E">
      <w:pPr>
        <w:tabs>
          <w:tab w:val="left" w:pos="1080"/>
          <w:tab w:val="left" w:pos="1440"/>
        </w:tabs>
        <w:spacing w:after="120"/>
        <w:ind w:left="1080" w:hanging="720"/>
      </w:pPr>
      <w:r w:rsidRPr="00F5002F">
        <w:t>PS</w:t>
      </w:r>
      <w:r w:rsidRPr="00F5002F">
        <w:rPr>
          <w:vertAlign w:val="subscript"/>
        </w:rPr>
        <w:t>SO2</w:t>
      </w:r>
      <w:r w:rsidRPr="00F5002F">
        <w:t xml:space="preserve"> = Prorated standard for SO</w:t>
      </w:r>
      <w:r w:rsidRPr="00F5002F">
        <w:rPr>
          <w:vertAlign w:val="subscript"/>
        </w:rPr>
        <w:t>2</w:t>
      </w:r>
      <w:r w:rsidRPr="00F5002F">
        <w:t xml:space="preserve"> when burning different fuels simultaneously, in ng/J heat input derived from all fossil fuels or from all fossil fuels fired;</w:t>
      </w:r>
    </w:p>
    <w:p w14:paraId="28BAAEDC" w14:textId="38E91F7C" w:rsidR="00D4477E" w:rsidRPr="00F5002F" w:rsidRDefault="00D4477E" w:rsidP="00D4477E">
      <w:pPr>
        <w:tabs>
          <w:tab w:val="left" w:pos="1080"/>
          <w:tab w:val="left" w:pos="1440"/>
        </w:tabs>
        <w:spacing w:after="120"/>
        <w:ind w:left="1080" w:hanging="720"/>
      </w:pPr>
      <w:r w:rsidRPr="00F5002F">
        <w:t>y = Percentage of total heat input derived from liquid fossil fuel; and</w:t>
      </w:r>
    </w:p>
    <w:p w14:paraId="626997CF" w14:textId="05BE7636" w:rsidR="00D4477E" w:rsidRPr="00F5002F" w:rsidRDefault="00D4477E" w:rsidP="00D4477E">
      <w:pPr>
        <w:tabs>
          <w:tab w:val="left" w:pos="1080"/>
          <w:tab w:val="left" w:pos="1440"/>
        </w:tabs>
        <w:spacing w:after="120"/>
        <w:ind w:left="1080" w:hanging="720"/>
      </w:pPr>
      <w:r w:rsidRPr="00F5002F">
        <w:t>z = Percentage of total heat input derived from solid fossil fuel.</w:t>
      </w:r>
    </w:p>
    <w:p w14:paraId="17344F8E" w14:textId="22F61E7D" w:rsidR="004C59EB" w:rsidRPr="00F5002F" w:rsidRDefault="004C59EB" w:rsidP="004C59EB">
      <w:pPr>
        <w:tabs>
          <w:tab w:val="left" w:pos="1080"/>
          <w:tab w:val="left" w:pos="1440"/>
        </w:tabs>
        <w:spacing w:after="120"/>
        <w:ind w:left="360"/>
        <w:rPr>
          <w:szCs w:val="22"/>
        </w:rPr>
      </w:pPr>
      <w:r w:rsidRPr="00F5002F">
        <w:rPr>
          <w:szCs w:val="22"/>
        </w:rPr>
        <w:t>[40 CFR 60.43(a)(1)</w:t>
      </w:r>
      <w:r w:rsidR="00D4477E" w:rsidRPr="00F5002F">
        <w:rPr>
          <w:szCs w:val="22"/>
        </w:rPr>
        <w:t>, (b)</w:t>
      </w:r>
      <w:r w:rsidRPr="00F5002F">
        <w:rPr>
          <w:szCs w:val="22"/>
        </w:rPr>
        <w:t xml:space="preserve"> &amp; (c), ; and, Permit Nos. AC43-4031 &amp; AC43-4038, as amended 2/16/93]</w:t>
      </w:r>
    </w:p>
    <w:p w14:paraId="56FC794D" w14:textId="6B15850E" w:rsidR="00360101" w:rsidRPr="00992922" w:rsidRDefault="00992922" w:rsidP="00992922">
      <w:pPr>
        <w:numPr>
          <w:ilvl w:val="0"/>
          <w:numId w:val="2"/>
        </w:numPr>
        <w:tabs>
          <w:tab w:val="num" w:pos="720"/>
          <w:tab w:val="left" w:pos="1080"/>
          <w:tab w:val="left" w:pos="1440"/>
        </w:tabs>
        <w:ind w:left="360" w:hanging="360"/>
      </w:pPr>
      <w:bookmarkStart w:id="28" w:name="_Ref519845638"/>
      <w:bookmarkEnd w:id="27"/>
      <w:r w:rsidRPr="00C16FF6">
        <w:rPr>
          <w:szCs w:val="22"/>
          <w:u w:val="single"/>
        </w:rPr>
        <w:t>NO</w:t>
      </w:r>
      <w:r w:rsidRPr="00C16FF6">
        <w:rPr>
          <w:szCs w:val="22"/>
          <w:u w:val="single"/>
          <w:vertAlign w:val="subscript"/>
        </w:rPr>
        <w:t>X</w:t>
      </w:r>
      <w:r w:rsidRPr="00C16FF6">
        <w:rPr>
          <w:szCs w:val="22"/>
          <w:u w:val="single"/>
        </w:rPr>
        <w:t xml:space="preserve"> Emissions</w:t>
      </w:r>
      <w:r w:rsidRPr="00C16FF6">
        <w:rPr>
          <w:szCs w:val="22"/>
        </w:rPr>
        <w:t xml:space="preserve">.  As determined by the CEMS, the </w:t>
      </w:r>
      <w:r w:rsidRPr="00C16FF6">
        <w:t>maximum</w:t>
      </w:r>
      <w:r w:rsidRPr="00C16FF6">
        <w:rPr>
          <w:szCs w:val="22"/>
        </w:rPr>
        <w:t xml:space="preserve"> emission limit for nitrogen oxides contained in the gases discharged to the atmosphere from each of these emissions units shall not exceed:</w:t>
      </w:r>
      <w:bookmarkEnd w:id="28"/>
    </w:p>
    <w:p w14:paraId="2FB47F63" w14:textId="77777777" w:rsidR="00992922" w:rsidRPr="00C16FF6" w:rsidRDefault="00992922" w:rsidP="00061DE9">
      <w:pPr>
        <w:pStyle w:val="ListParagraph"/>
        <w:numPr>
          <w:ilvl w:val="0"/>
          <w:numId w:val="46"/>
        </w:numPr>
        <w:tabs>
          <w:tab w:val="clear" w:pos="1080"/>
        </w:tabs>
        <w:ind w:left="720" w:hanging="360"/>
        <w:contextualSpacing w:val="0"/>
      </w:pPr>
      <w:r w:rsidRPr="00C16FF6">
        <w:t>86 nanograms per joule heat input (0.20 lb/MMBtu) derived from gaseous fossil fuel.  In addition, emissions shall not exceed 1,808 lb/hr.</w:t>
      </w:r>
    </w:p>
    <w:p w14:paraId="3A87C88A" w14:textId="77777777" w:rsidR="00992922" w:rsidRPr="00C16FF6" w:rsidRDefault="00992922" w:rsidP="00061DE9">
      <w:pPr>
        <w:numPr>
          <w:ilvl w:val="0"/>
          <w:numId w:val="46"/>
        </w:numPr>
        <w:tabs>
          <w:tab w:val="clear" w:pos="1080"/>
        </w:tabs>
        <w:ind w:left="720" w:hanging="360"/>
        <w:rPr>
          <w:szCs w:val="22"/>
        </w:rPr>
      </w:pPr>
      <w:r w:rsidRPr="00C16FF6">
        <w:rPr>
          <w:szCs w:val="22"/>
        </w:rPr>
        <w:t>129 nanograms per joule heat input (0.30 lb/MMBtu) derived from liquid fossil fuel.  In addition, emissions shall not exceed 2,595 lb/hr.</w:t>
      </w:r>
    </w:p>
    <w:p w14:paraId="339E57C8" w14:textId="6ADA5386" w:rsidR="00992922" w:rsidRDefault="00B06288" w:rsidP="00B06288">
      <w:pPr>
        <w:tabs>
          <w:tab w:val="left" w:pos="720"/>
          <w:tab w:val="left" w:pos="1080"/>
          <w:tab w:val="left" w:pos="1440"/>
        </w:tabs>
        <w:spacing w:after="120"/>
        <w:ind w:left="360"/>
        <w:rPr>
          <w:szCs w:val="22"/>
        </w:rPr>
      </w:pPr>
      <w:r w:rsidRPr="00C16FF6">
        <w:rPr>
          <w:szCs w:val="22"/>
        </w:rPr>
        <w:t>When different fossil fuels are burned simultaneously in any combination, the applicable standard (in lb/MMBtu) is determined by proration using the following formula:</w:t>
      </w:r>
    </w:p>
    <w:p w14:paraId="54C333DD" w14:textId="10FAB068" w:rsidR="00B06288" w:rsidRPr="00B06288" w:rsidRDefault="00585225" w:rsidP="00B06288">
      <w:pPr>
        <w:spacing w:after="120"/>
        <w:ind w:left="720"/>
      </w:pPr>
      <m:oMathPara>
        <m:oMathParaPr>
          <m:jc m:val="left"/>
        </m:oMathParaPr>
        <m:oMath>
          <m:sSub>
            <m:sSubPr>
              <m:ctrlPr>
                <w:rPr>
                  <w:rFonts w:ascii="Cambria Math" w:hAnsi="Cambria Math"/>
                  <w:i/>
                </w:rPr>
              </m:ctrlPr>
            </m:sSubPr>
            <m:e>
              <m:r>
                <w:rPr>
                  <w:rFonts w:ascii="Cambria Math" w:hAnsi="Cambria Math"/>
                </w:rPr>
                <m:t>PS</m:t>
              </m:r>
            </m:e>
            <m:sub>
              <m:sSub>
                <m:sSubPr>
                  <m:ctrlPr>
                    <w:rPr>
                      <w:rFonts w:ascii="Cambria Math" w:hAnsi="Cambria Math"/>
                      <w:i/>
                    </w:rPr>
                  </m:ctrlPr>
                </m:sSubPr>
                <m:e>
                  <m:r>
                    <w:rPr>
                      <w:rFonts w:ascii="Cambria Math" w:hAnsi="Cambria Math"/>
                    </w:rPr>
                    <m:t>NO</m:t>
                  </m:r>
                </m:e>
                <m:sub>
                  <m:r>
                    <w:rPr>
                      <w:rFonts w:ascii="Cambria Math" w:hAnsi="Cambria Math"/>
                    </w:rPr>
                    <m:t>X</m:t>
                  </m:r>
                </m:sub>
              </m:sSub>
            </m:sub>
          </m:sSub>
          <m:r>
            <w:rPr>
              <w:rFonts w:ascii="Cambria Math" w:hAnsi="Cambria Math"/>
            </w:rPr>
            <m:t>=</m:t>
          </m:r>
          <m:f>
            <m:fPr>
              <m:ctrlPr>
                <w:rPr>
                  <w:rFonts w:ascii="Cambria Math" w:hAnsi="Cambria Math"/>
                  <w:i/>
                </w:rPr>
              </m:ctrlPr>
            </m:fPr>
            <m:num>
              <m:r>
                <w:rPr>
                  <w:rFonts w:ascii="Cambria Math" w:hAnsi="Cambria Math"/>
                </w:rPr>
                <m:t>x</m:t>
              </m:r>
              <m:d>
                <m:dPr>
                  <m:ctrlPr>
                    <w:rPr>
                      <w:rFonts w:ascii="Cambria Math" w:hAnsi="Cambria Math"/>
                      <w:i/>
                    </w:rPr>
                  </m:ctrlPr>
                </m:dPr>
                <m:e>
                  <m:r>
                    <w:rPr>
                      <w:rFonts w:ascii="Cambria Math" w:hAnsi="Cambria Math"/>
                    </w:rPr>
                    <m:t>0.20</m:t>
                  </m:r>
                </m:e>
              </m:d>
              <m:r>
                <w:rPr>
                  <w:rFonts w:ascii="Cambria Math" w:hAnsi="Cambria Math"/>
                </w:rPr>
                <m:t>+y(0.30)</m:t>
              </m:r>
            </m:num>
            <m:den>
              <m:r>
                <w:rPr>
                  <w:rFonts w:ascii="Cambria Math" w:hAnsi="Cambria Math"/>
                </w:rPr>
                <m:t>x+y</m:t>
              </m:r>
            </m:den>
          </m:f>
        </m:oMath>
      </m:oMathPara>
    </w:p>
    <w:p w14:paraId="5F6A90FC" w14:textId="42EF8CD0" w:rsidR="00B06288" w:rsidRDefault="00B06288" w:rsidP="00B06288">
      <w:pPr>
        <w:spacing w:after="120"/>
        <w:ind w:left="720"/>
      </w:pPr>
      <w:r w:rsidRPr="00B06288">
        <w:t>Where</w:t>
      </w:r>
      <w:r>
        <w:t>:</w:t>
      </w:r>
    </w:p>
    <w:p w14:paraId="7AF9E30C" w14:textId="44651E3B" w:rsidR="00B06288" w:rsidRDefault="00B06288" w:rsidP="00A341AD">
      <w:pPr>
        <w:spacing w:after="60"/>
        <w:ind w:left="1440" w:hanging="720"/>
      </w:pPr>
      <w:proofErr w:type="spellStart"/>
      <w:r>
        <w:t>PS</w:t>
      </w:r>
      <w:r>
        <w:rPr>
          <w:vertAlign w:val="subscript"/>
        </w:rPr>
        <w:t>NOx</w:t>
      </w:r>
      <w:proofErr w:type="spellEnd"/>
      <w:r>
        <w:t xml:space="preserve"> = is the prorated standard for nitrogen oxides when burning different fuels simultaneously, in lb/MMBtu heat input derived from all fossil fuels fired;</w:t>
      </w:r>
    </w:p>
    <w:p w14:paraId="76458CA1" w14:textId="1F5EEC9D" w:rsidR="00B06288" w:rsidRDefault="00B06288" w:rsidP="00A341AD">
      <w:pPr>
        <w:spacing w:after="60"/>
        <w:ind w:left="1440" w:hanging="720"/>
      </w:pPr>
      <w:r>
        <w:t>x = is the percentage of total heat input derived from gaseous fossil fuel;</w:t>
      </w:r>
    </w:p>
    <w:p w14:paraId="17A80832" w14:textId="505128E9" w:rsidR="00B06288" w:rsidRDefault="00B06288" w:rsidP="00A341AD">
      <w:pPr>
        <w:ind w:left="1440" w:hanging="720"/>
      </w:pPr>
      <w:r>
        <w:t>y = is the percentage of total heat input derived from liquid fossil fuel.</w:t>
      </w:r>
    </w:p>
    <w:p w14:paraId="549B5267" w14:textId="2761B720" w:rsidR="00B06288" w:rsidRDefault="00B06288" w:rsidP="00B06288">
      <w:pPr>
        <w:spacing w:after="120"/>
        <w:ind w:left="360"/>
        <w:rPr>
          <w:szCs w:val="22"/>
        </w:rPr>
      </w:pPr>
      <w:r w:rsidRPr="00C16FF6">
        <w:rPr>
          <w:szCs w:val="22"/>
        </w:rPr>
        <w:t>[40 CFR 60.44(a</w:t>
      </w:r>
      <w:r w:rsidRPr="00C94822">
        <w:rPr>
          <w:szCs w:val="22"/>
        </w:rPr>
        <w:t>)(1)</w:t>
      </w:r>
      <w:r w:rsidR="008D0F69" w:rsidRPr="00C94822">
        <w:rPr>
          <w:szCs w:val="22"/>
        </w:rPr>
        <w:t xml:space="preserve">, </w:t>
      </w:r>
      <w:r w:rsidRPr="00C94822">
        <w:rPr>
          <w:szCs w:val="22"/>
        </w:rPr>
        <w:t>(2)</w:t>
      </w:r>
      <w:r w:rsidR="008D0F69" w:rsidRPr="00C94822">
        <w:rPr>
          <w:szCs w:val="22"/>
        </w:rPr>
        <w:t xml:space="preserve"> &amp; (b)</w:t>
      </w:r>
      <w:r w:rsidRPr="00C94822">
        <w:rPr>
          <w:szCs w:val="22"/>
        </w:rPr>
        <w:t>; and,</w:t>
      </w:r>
      <w:r w:rsidRPr="00C16FF6">
        <w:rPr>
          <w:szCs w:val="22"/>
        </w:rPr>
        <w:t xml:space="preserve"> Permit Nos. AC43-4031 &amp; AC43-4038, as amended 2/16/93]</w:t>
      </w:r>
    </w:p>
    <w:p w14:paraId="302A3744" w14:textId="0F8C247A" w:rsidR="001F1BDF" w:rsidRPr="00A341AD" w:rsidRDefault="00A341AD" w:rsidP="00A341AD">
      <w:pPr>
        <w:numPr>
          <w:ilvl w:val="0"/>
          <w:numId w:val="2"/>
        </w:numPr>
        <w:tabs>
          <w:tab w:val="clear" w:pos="1836"/>
          <w:tab w:val="left" w:pos="360"/>
          <w:tab w:val="num" w:pos="720"/>
          <w:tab w:val="left" w:pos="1080"/>
          <w:tab w:val="left" w:pos="1440"/>
        </w:tabs>
        <w:ind w:left="360" w:hanging="360"/>
      </w:pPr>
      <w:bookmarkStart w:id="29" w:name="_Ref504048318"/>
      <w:r w:rsidRPr="00C16FF6">
        <w:rPr>
          <w:szCs w:val="22"/>
          <w:u w:val="single"/>
        </w:rPr>
        <w:t>Used Oil</w:t>
      </w:r>
      <w:r w:rsidRPr="00C16FF6">
        <w:rPr>
          <w:szCs w:val="22"/>
        </w:rPr>
        <w:t>.  Burning of on-specification used oil is allowed in this emissions unit in accordance with all other conditions of this permit and the following conditions:</w:t>
      </w:r>
      <w:bookmarkEnd w:id="29"/>
    </w:p>
    <w:p w14:paraId="0E60174B" w14:textId="57FA55D0" w:rsidR="00A341AD" w:rsidRPr="00A341AD" w:rsidRDefault="00A341AD" w:rsidP="00061DE9">
      <w:pPr>
        <w:pStyle w:val="ListParagraph"/>
        <w:numPr>
          <w:ilvl w:val="0"/>
          <w:numId w:val="47"/>
        </w:numPr>
        <w:spacing w:after="120"/>
        <w:ind w:left="720"/>
      </w:pPr>
      <w:r w:rsidRPr="00C16FF6">
        <w:rPr>
          <w:i/>
          <w:szCs w:val="22"/>
        </w:rPr>
        <w:t>On-specification Used Oil Emissions Limitations</w:t>
      </w:r>
      <w:r w:rsidRPr="00C16FF6">
        <w:rPr>
          <w:szCs w:val="22"/>
        </w:rPr>
        <w:t xml:space="preserve">.  This emissions unit is permitted to burn on specifications used oil, which </w:t>
      </w:r>
      <w:r w:rsidRPr="00C94822">
        <w:rPr>
          <w:szCs w:val="22"/>
        </w:rPr>
        <w:t>contains a</w:t>
      </w:r>
      <w:r w:rsidR="00A12635" w:rsidRPr="00C94822">
        <w:rPr>
          <w:szCs w:val="22"/>
        </w:rPr>
        <w:t xml:space="preserve"> polychlorinated biphenyl</w:t>
      </w:r>
      <w:r w:rsidRPr="00C94822">
        <w:rPr>
          <w:szCs w:val="22"/>
        </w:rPr>
        <w:t xml:space="preserve"> </w:t>
      </w:r>
      <w:r w:rsidR="00A12635" w:rsidRPr="00C94822">
        <w:rPr>
          <w:szCs w:val="22"/>
        </w:rPr>
        <w:t>(</w:t>
      </w:r>
      <w:r w:rsidRPr="00C94822">
        <w:rPr>
          <w:szCs w:val="22"/>
        </w:rPr>
        <w:t>PCB</w:t>
      </w:r>
      <w:r w:rsidR="00A12635" w:rsidRPr="00C94822">
        <w:rPr>
          <w:szCs w:val="22"/>
        </w:rPr>
        <w:t>)</w:t>
      </w:r>
      <w:r w:rsidRPr="00C94822">
        <w:rPr>
          <w:szCs w:val="22"/>
        </w:rPr>
        <w:t xml:space="preserve"> concentration of less than 50 parts per million (ppm).  On-specification used oil is defined as used oil that meets</w:t>
      </w:r>
      <w:r w:rsidRPr="00C16FF6">
        <w:rPr>
          <w:szCs w:val="22"/>
        </w:rPr>
        <w:t xml:space="preserve"> the specifications of 40 CFR 279 </w:t>
      </w:r>
      <w:r w:rsidR="00C94822">
        <w:rPr>
          <w:szCs w:val="22"/>
        </w:rPr>
        <w:t>–</w:t>
      </w:r>
      <w:r w:rsidRPr="00C16FF6">
        <w:rPr>
          <w:szCs w:val="22"/>
        </w:rPr>
        <w:t xml:space="preserve"> Standards</w:t>
      </w:r>
      <w:r w:rsidR="00C94822">
        <w:rPr>
          <w:szCs w:val="22"/>
        </w:rPr>
        <w:t xml:space="preserve"> </w:t>
      </w:r>
      <w:r w:rsidRPr="00C16FF6">
        <w:rPr>
          <w:szCs w:val="22"/>
        </w:rPr>
        <w:t>for the Management of Used Oil, listed below.  “Off-specification” used oil shall not be burned.  Used oil which fails to comply with any of these specification levels is considered “off-specification” used oil.</w:t>
      </w:r>
    </w:p>
    <w:tbl>
      <w:tblPr>
        <w:tblW w:w="0" w:type="auto"/>
        <w:tblInd w:w="795" w:type="dxa"/>
        <w:tblLayout w:type="fixed"/>
        <w:tblLook w:val="0000" w:firstRow="0" w:lastRow="0" w:firstColumn="0" w:lastColumn="0" w:noHBand="0" w:noVBand="0"/>
      </w:tblPr>
      <w:tblGrid>
        <w:gridCol w:w="3420"/>
        <w:gridCol w:w="3240"/>
      </w:tblGrid>
      <w:tr w:rsidR="00A341AD" w:rsidRPr="00C16FF6" w14:paraId="27534046" w14:textId="77777777" w:rsidTr="00A341AD">
        <w:trPr>
          <w:cantSplit/>
          <w:trHeight w:val="354"/>
        </w:trPr>
        <w:tc>
          <w:tcPr>
            <w:tcW w:w="3420" w:type="dxa"/>
            <w:tcBorders>
              <w:top w:val="single" w:sz="12" w:space="0" w:color="auto"/>
              <w:left w:val="single" w:sz="12" w:space="0" w:color="auto"/>
              <w:bottom w:val="single" w:sz="12" w:space="0" w:color="auto"/>
              <w:right w:val="single" w:sz="12" w:space="0" w:color="auto"/>
            </w:tcBorders>
            <w:shd w:val="pct5" w:color="auto" w:fill="auto"/>
            <w:vAlign w:val="center"/>
          </w:tcPr>
          <w:p w14:paraId="66F623FB" w14:textId="77777777" w:rsidR="00A341AD" w:rsidRPr="00C16FF6" w:rsidRDefault="00A341AD" w:rsidP="007B58F9">
            <w:pPr>
              <w:jc w:val="center"/>
              <w:rPr>
                <w:b/>
                <w:szCs w:val="22"/>
              </w:rPr>
            </w:pPr>
            <w:r w:rsidRPr="00C16FF6">
              <w:rPr>
                <w:b/>
                <w:szCs w:val="22"/>
              </w:rPr>
              <w:t>CONSTITUENT/</w:t>
            </w:r>
            <w:r w:rsidRPr="00C16FF6">
              <w:rPr>
                <w:b/>
                <w:caps/>
                <w:szCs w:val="22"/>
              </w:rPr>
              <w:t>property</w:t>
            </w:r>
          </w:p>
        </w:tc>
        <w:tc>
          <w:tcPr>
            <w:tcW w:w="3240" w:type="dxa"/>
            <w:tcBorders>
              <w:top w:val="single" w:sz="12" w:space="0" w:color="auto"/>
              <w:left w:val="single" w:sz="12" w:space="0" w:color="auto"/>
              <w:bottom w:val="single" w:sz="12" w:space="0" w:color="auto"/>
              <w:right w:val="single" w:sz="12" w:space="0" w:color="auto"/>
            </w:tcBorders>
            <w:shd w:val="pct5" w:color="auto" w:fill="auto"/>
            <w:vAlign w:val="center"/>
          </w:tcPr>
          <w:p w14:paraId="0BCF35E5" w14:textId="77777777" w:rsidR="00A341AD" w:rsidRPr="00C16FF6" w:rsidRDefault="00A341AD" w:rsidP="007B58F9">
            <w:pPr>
              <w:jc w:val="center"/>
              <w:rPr>
                <w:b/>
                <w:szCs w:val="22"/>
              </w:rPr>
            </w:pPr>
            <w:r w:rsidRPr="00C16FF6">
              <w:rPr>
                <w:b/>
                <w:szCs w:val="22"/>
              </w:rPr>
              <w:t>ALLOWABLE LEVEL</w:t>
            </w:r>
          </w:p>
        </w:tc>
      </w:tr>
      <w:tr w:rsidR="00A341AD" w:rsidRPr="00C16FF6" w14:paraId="2BB5A158" w14:textId="77777777" w:rsidTr="00A341AD">
        <w:trPr>
          <w:cantSplit/>
        </w:trPr>
        <w:tc>
          <w:tcPr>
            <w:tcW w:w="3420" w:type="dxa"/>
            <w:tcBorders>
              <w:top w:val="single" w:sz="12" w:space="0" w:color="auto"/>
              <w:left w:val="single" w:sz="12" w:space="0" w:color="auto"/>
              <w:right w:val="single" w:sz="12" w:space="0" w:color="auto"/>
            </w:tcBorders>
            <w:vAlign w:val="center"/>
          </w:tcPr>
          <w:p w14:paraId="3FD58C1B" w14:textId="77777777" w:rsidR="00A341AD" w:rsidRPr="00C16FF6" w:rsidRDefault="00A341AD" w:rsidP="007B58F9">
            <w:pPr>
              <w:jc w:val="center"/>
              <w:rPr>
                <w:szCs w:val="22"/>
              </w:rPr>
            </w:pPr>
            <w:r w:rsidRPr="00C16FF6">
              <w:rPr>
                <w:szCs w:val="22"/>
              </w:rPr>
              <w:t>Arsenic</w:t>
            </w:r>
          </w:p>
        </w:tc>
        <w:tc>
          <w:tcPr>
            <w:tcW w:w="3240" w:type="dxa"/>
            <w:tcBorders>
              <w:top w:val="single" w:sz="12" w:space="0" w:color="auto"/>
              <w:left w:val="single" w:sz="12" w:space="0" w:color="auto"/>
              <w:right w:val="single" w:sz="12" w:space="0" w:color="auto"/>
            </w:tcBorders>
            <w:vAlign w:val="center"/>
          </w:tcPr>
          <w:p w14:paraId="7E6CB701" w14:textId="77777777" w:rsidR="00A341AD" w:rsidRPr="00C16FF6" w:rsidRDefault="00A341AD" w:rsidP="007B58F9">
            <w:pPr>
              <w:jc w:val="center"/>
              <w:rPr>
                <w:szCs w:val="22"/>
              </w:rPr>
            </w:pPr>
            <w:r w:rsidRPr="00C16FF6">
              <w:rPr>
                <w:szCs w:val="22"/>
              </w:rPr>
              <w:t>5 ppm maximum</w:t>
            </w:r>
          </w:p>
        </w:tc>
      </w:tr>
      <w:tr w:rsidR="00A341AD" w:rsidRPr="00C16FF6" w14:paraId="0390BAFA" w14:textId="77777777" w:rsidTr="00A341AD">
        <w:trPr>
          <w:cantSplit/>
        </w:trPr>
        <w:tc>
          <w:tcPr>
            <w:tcW w:w="3420" w:type="dxa"/>
            <w:tcBorders>
              <w:left w:val="single" w:sz="12" w:space="0" w:color="auto"/>
              <w:right w:val="single" w:sz="12" w:space="0" w:color="auto"/>
            </w:tcBorders>
            <w:vAlign w:val="center"/>
          </w:tcPr>
          <w:p w14:paraId="71FB69BC" w14:textId="77777777" w:rsidR="00A341AD" w:rsidRPr="00C16FF6" w:rsidRDefault="00A341AD" w:rsidP="007B58F9">
            <w:pPr>
              <w:jc w:val="center"/>
              <w:rPr>
                <w:szCs w:val="22"/>
              </w:rPr>
            </w:pPr>
            <w:r w:rsidRPr="00C16FF6">
              <w:rPr>
                <w:szCs w:val="22"/>
              </w:rPr>
              <w:t>Cadmium</w:t>
            </w:r>
          </w:p>
        </w:tc>
        <w:tc>
          <w:tcPr>
            <w:tcW w:w="3240" w:type="dxa"/>
            <w:tcBorders>
              <w:left w:val="single" w:sz="12" w:space="0" w:color="auto"/>
              <w:right w:val="single" w:sz="12" w:space="0" w:color="auto"/>
            </w:tcBorders>
            <w:vAlign w:val="center"/>
          </w:tcPr>
          <w:p w14:paraId="5514370C" w14:textId="77777777" w:rsidR="00A341AD" w:rsidRPr="00C16FF6" w:rsidRDefault="00A341AD" w:rsidP="007B58F9">
            <w:pPr>
              <w:jc w:val="center"/>
              <w:rPr>
                <w:szCs w:val="22"/>
              </w:rPr>
            </w:pPr>
            <w:r w:rsidRPr="00C16FF6">
              <w:rPr>
                <w:szCs w:val="22"/>
              </w:rPr>
              <w:t>2 ppm maximum</w:t>
            </w:r>
          </w:p>
        </w:tc>
      </w:tr>
      <w:tr w:rsidR="00A341AD" w:rsidRPr="00C16FF6" w14:paraId="1584FF5A" w14:textId="77777777" w:rsidTr="00A341AD">
        <w:trPr>
          <w:cantSplit/>
        </w:trPr>
        <w:tc>
          <w:tcPr>
            <w:tcW w:w="3420" w:type="dxa"/>
            <w:tcBorders>
              <w:left w:val="single" w:sz="12" w:space="0" w:color="auto"/>
              <w:right w:val="single" w:sz="12" w:space="0" w:color="auto"/>
            </w:tcBorders>
            <w:vAlign w:val="center"/>
          </w:tcPr>
          <w:p w14:paraId="6261C6B6" w14:textId="77777777" w:rsidR="00A341AD" w:rsidRPr="00C16FF6" w:rsidRDefault="00A341AD" w:rsidP="007B58F9">
            <w:pPr>
              <w:jc w:val="center"/>
              <w:rPr>
                <w:szCs w:val="22"/>
              </w:rPr>
            </w:pPr>
            <w:r w:rsidRPr="00C16FF6">
              <w:rPr>
                <w:szCs w:val="22"/>
              </w:rPr>
              <w:t>Chromium</w:t>
            </w:r>
          </w:p>
        </w:tc>
        <w:tc>
          <w:tcPr>
            <w:tcW w:w="3240" w:type="dxa"/>
            <w:tcBorders>
              <w:left w:val="single" w:sz="12" w:space="0" w:color="auto"/>
              <w:right w:val="single" w:sz="12" w:space="0" w:color="auto"/>
            </w:tcBorders>
            <w:vAlign w:val="center"/>
          </w:tcPr>
          <w:p w14:paraId="5C110F4E" w14:textId="77777777" w:rsidR="00A341AD" w:rsidRPr="00C16FF6" w:rsidRDefault="00A341AD" w:rsidP="007B58F9">
            <w:pPr>
              <w:jc w:val="center"/>
              <w:rPr>
                <w:szCs w:val="22"/>
              </w:rPr>
            </w:pPr>
            <w:r w:rsidRPr="00C16FF6">
              <w:rPr>
                <w:szCs w:val="22"/>
              </w:rPr>
              <w:t>10 ppm maximum</w:t>
            </w:r>
          </w:p>
        </w:tc>
      </w:tr>
      <w:tr w:rsidR="00A341AD" w:rsidRPr="00C16FF6" w14:paraId="4F4D6B5C" w14:textId="77777777" w:rsidTr="00A341AD">
        <w:trPr>
          <w:cantSplit/>
        </w:trPr>
        <w:tc>
          <w:tcPr>
            <w:tcW w:w="3420" w:type="dxa"/>
            <w:tcBorders>
              <w:left w:val="single" w:sz="12" w:space="0" w:color="auto"/>
              <w:right w:val="single" w:sz="12" w:space="0" w:color="auto"/>
            </w:tcBorders>
            <w:vAlign w:val="center"/>
          </w:tcPr>
          <w:p w14:paraId="2A44D545" w14:textId="77777777" w:rsidR="00A341AD" w:rsidRPr="00C16FF6" w:rsidRDefault="00A341AD" w:rsidP="007B58F9">
            <w:pPr>
              <w:jc w:val="center"/>
              <w:rPr>
                <w:szCs w:val="22"/>
              </w:rPr>
            </w:pPr>
            <w:r w:rsidRPr="00C16FF6">
              <w:rPr>
                <w:szCs w:val="22"/>
              </w:rPr>
              <w:t>Lead</w:t>
            </w:r>
          </w:p>
        </w:tc>
        <w:tc>
          <w:tcPr>
            <w:tcW w:w="3240" w:type="dxa"/>
            <w:tcBorders>
              <w:left w:val="single" w:sz="12" w:space="0" w:color="auto"/>
              <w:right w:val="single" w:sz="12" w:space="0" w:color="auto"/>
            </w:tcBorders>
            <w:vAlign w:val="center"/>
          </w:tcPr>
          <w:p w14:paraId="2DB68D09" w14:textId="77777777" w:rsidR="00A341AD" w:rsidRPr="00C16FF6" w:rsidRDefault="00A341AD" w:rsidP="007B58F9">
            <w:pPr>
              <w:jc w:val="center"/>
              <w:rPr>
                <w:szCs w:val="22"/>
              </w:rPr>
            </w:pPr>
            <w:r w:rsidRPr="00C16FF6">
              <w:rPr>
                <w:szCs w:val="22"/>
              </w:rPr>
              <w:t>100 ppm maximum</w:t>
            </w:r>
          </w:p>
        </w:tc>
      </w:tr>
      <w:tr w:rsidR="00A341AD" w:rsidRPr="00C16FF6" w14:paraId="293F161F" w14:textId="77777777" w:rsidTr="00A341AD">
        <w:trPr>
          <w:cantSplit/>
        </w:trPr>
        <w:tc>
          <w:tcPr>
            <w:tcW w:w="3420" w:type="dxa"/>
            <w:tcBorders>
              <w:left w:val="single" w:sz="12" w:space="0" w:color="auto"/>
              <w:right w:val="single" w:sz="12" w:space="0" w:color="auto"/>
            </w:tcBorders>
            <w:vAlign w:val="center"/>
          </w:tcPr>
          <w:p w14:paraId="681C8123" w14:textId="77777777" w:rsidR="00A341AD" w:rsidRPr="00C16FF6" w:rsidRDefault="00A341AD" w:rsidP="007B58F9">
            <w:pPr>
              <w:jc w:val="center"/>
              <w:rPr>
                <w:szCs w:val="22"/>
              </w:rPr>
            </w:pPr>
            <w:r w:rsidRPr="00C16FF6">
              <w:rPr>
                <w:szCs w:val="22"/>
              </w:rPr>
              <w:t>Total Halogens</w:t>
            </w:r>
          </w:p>
        </w:tc>
        <w:tc>
          <w:tcPr>
            <w:tcW w:w="3240" w:type="dxa"/>
            <w:tcBorders>
              <w:left w:val="single" w:sz="12" w:space="0" w:color="auto"/>
              <w:right w:val="single" w:sz="12" w:space="0" w:color="auto"/>
            </w:tcBorders>
            <w:vAlign w:val="center"/>
          </w:tcPr>
          <w:p w14:paraId="2892F7F4" w14:textId="77777777" w:rsidR="00A341AD" w:rsidRPr="00C16FF6" w:rsidRDefault="00A341AD" w:rsidP="007B58F9">
            <w:pPr>
              <w:jc w:val="center"/>
              <w:rPr>
                <w:szCs w:val="22"/>
              </w:rPr>
            </w:pPr>
            <w:r w:rsidRPr="00C16FF6">
              <w:rPr>
                <w:szCs w:val="22"/>
              </w:rPr>
              <w:t>1000 ppm maximum</w:t>
            </w:r>
          </w:p>
        </w:tc>
      </w:tr>
      <w:tr w:rsidR="00A341AD" w:rsidRPr="00C16FF6" w14:paraId="7DF5D56F" w14:textId="77777777" w:rsidTr="00A341AD">
        <w:trPr>
          <w:cantSplit/>
          <w:trHeight w:val="270"/>
        </w:trPr>
        <w:tc>
          <w:tcPr>
            <w:tcW w:w="3420" w:type="dxa"/>
            <w:tcBorders>
              <w:left w:val="single" w:sz="12" w:space="0" w:color="auto"/>
              <w:bottom w:val="single" w:sz="12" w:space="0" w:color="auto"/>
              <w:right w:val="single" w:sz="12" w:space="0" w:color="auto"/>
            </w:tcBorders>
            <w:vAlign w:val="center"/>
          </w:tcPr>
          <w:p w14:paraId="74406BDD" w14:textId="77777777" w:rsidR="00A341AD" w:rsidRPr="00C16FF6" w:rsidRDefault="00A341AD" w:rsidP="007B58F9">
            <w:pPr>
              <w:jc w:val="center"/>
              <w:rPr>
                <w:szCs w:val="22"/>
              </w:rPr>
            </w:pPr>
            <w:r w:rsidRPr="00C16FF6">
              <w:rPr>
                <w:szCs w:val="22"/>
              </w:rPr>
              <w:t>Flash point</w:t>
            </w:r>
          </w:p>
        </w:tc>
        <w:tc>
          <w:tcPr>
            <w:tcW w:w="3240" w:type="dxa"/>
            <w:tcBorders>
              <w:left w:val="single" w:sz="12" w:space="0" w:color="auto"/>
              <w:bottom w:val="single" w:sz="12" w:space="0" w:color="auto"/>
              <w:right w:val="single" w:sz="12" w:space="0" w:color="auto"/>
            </w:tcBorders>
            <w:vAlign w:val="center"/>
          </w:tcPr>
          <w:p w14:paraId="6676FDDC" w14:textId="77777777" w:rsidR="00A341AD" w:rsidRPr="00C16FF6" w:rsidRDefault="00A341AD" w:rsidP="007B58F9">
            <w:pPr>
              <w:jc w:val="center"/>
              <w:rPr>
                <w:szCs w:val="22"/>
              </w:rPr>
            </w:pPr>
            <w:r w:rsidRPr="00C16FF6">
              <w:rPr>
                <w:szCs w:val="22"/>
              </w:rPr>
              <w:t>100 degrees F minimum</w:t>
            </w:r>
          </w:p>
        </w:tc>
      </w:tr>
    </w:tbl>
    <w:p w14:paraId="70DB8165" w14:textId="1D1699CB" w:rsidR="00A341AD" w:rsidRPr="00A341AD" w:rsidRDefault="00A341AD" w:rsidP="00061DE9">
      <w:pPr>
        <w:pStyle w:val="ListParagraph"/>
        <w:numPr>
          <w:ilvl w:val="0"/>
          <w:numId w:val="47"/>
        </w:numPr>
        <w:spacing w:before="120" w:after="120"/>
        <w:ind w:left="720"/>
      </w:pPr>
      <w:r w:rsidRPr="00C16FF6">
        <w:rPr>
          <w:i/>
          <w:szCs w:val="22"/>
        </w:rPr>
        <w:t>Quantity Limitation</w:t>
      </w:r>
      <w:r w:rsidRPr="00C16FF6">
        <w:rPr>
          <w:szCs w:val="22"/>
        </w:rPr>
        <w:t>.  This emissions unit is permitted to burn “on-specification” used oil not to exceed 10,000 gallons during any calendar year.</w:t>
      </w:r>
    </w:p>
    <w:p w14:paraId="0716B054" w14:textId="6EBB6D14" w:rsidR="00A341AD" w:rsidRPr="00A341AD" w:rsidRDefault="00A341AD" w:rsidP="00061DE9">
      <w:pPr>
        <w:pStyle w:val="ListParagraph"/>
        <w:numPr>
          <w:ilvl w:val="0"/>
          <w:numId w:val="47"/>
        </w:numPr>
        <w:spacing w:after="120"/>
        <w:ind w:left="720"/>
      </w:pPr>
      <w:r w:rsidRPr="00C16FF6">
        <w:rPr>
          <w:i/>
          <w:szCs w:val="22"/>
        </w:rPr>
        <w:t>PCB Limitation</w:t>
      </w:r>
      <w:r w:rsidRPr="00C16FF6">
        <w:rPr>
          <w:szCs w:val="22"/>
        </w:rPr>
        <w:t>.  Used oil containing a PCB concentration of 50 or more ppm shall not be burned at this facility.  Used oil shall not be blended to meet this requirement.</w:t>
      </w:r>
    </w:p>
    <w:p w14:paraId="275486C9" w14:textId="37C89587" w:rsidR="00A341AD" w:rsidRPr="00A341AD" w:rsidRDefault="00A341AD" w:rsidP="00061DE9">
      <w:pPr>
        <w:pStyle w:val="ListParagraph"/>
        <w:numPr>
          <w:ilvl w:val="0"/>
          <w:numId w:val="47"/>
        </w:numPr>
        <w:spacing w:after="120"/>
        <w:ind w:left="720"/>
      </w:pPr>
      <w:r w:rsidRPr="00C16FF6">
        <w:rPr>
          <w:i/>
          <w:szCs w:val="22"/>
        </w:rPr>
        <w:t>Operational Requirements</w:t>
      </w:r>
      <w:r w:rsidRPr="00C16FF6">
        <w:rPr>
          <w:szCs w:val="22"/>
        </w:rPr>
        <w:t>.  On-specification used oil with a PCB concentration of 2 to less than 50 ppm shall be burned only at normal source operating temperatures.  On-specification used oil with a PCB concentration of 2 to less than 50 ppm shall not be burned during periods of startup or shutdown.</w:t>
      </w:r>
    </w:p>
    <w:p w14:paraId="251D3955" w14:textId="70098061" w:rsidR="00A341AD" w:rsidRPr="00A341AD" w:rsidRDefault="00A341AD" w:rsidP="00061DE9">
      <w:pPr>
        <w:pStyle w:val="ListParagraph"/>
        <w:numPr>
          <w:ilvl w:val="0"/>
          <w:numId w:val="47"/>
        </w:numPr>
        <w:spacing w:after="120"/>
        <w:ind w:left="720"/>
      </w:pPr>
      <w:r w:rsidRPr="00C16FF6">
        <w:rPr>
          <w:i/>
          <w:szCs w:val="22"/>
        </w:rPr>
        <w:t>Testing Requirements</w:t>
      </w:r>
      <w:r w:rsidRPr="00C16FF6">
        <w:rPr>
          <w:szCs w:val="22"/>
        </w:rPr>
        <w:t>.  For each batch of used oil to be burned, the owner or operator must be able to demonstrate that the used oil qualifies as on-specification used oil and that the PCB content is less than 50 ppm.  The requirements of this demonstration are governed by the following federal regulations:</w:t>
      </w:r>
    </w:p>
    <w:p w14:paraId="378F06AB" w14:textId="390C0D5A" w:rsidR="00A341AD" w:rsidRPr="00A341AD" w:rsidRDefault="00A341AD" w:rsidP="00061DE9">
      <w:pPr>
        <w:pStyle w:val="ListParagraph"/>
        <w:numPr>
          <w:ilvl w:val="0"/>
          <w:numId w:val="48"/>
        </w:numPr>
        <w:spacing w:before="120" w:after="120"/>
        <w:ind w:left="1080"/>
      </w:pPr>
      <w:r w:rsidRPr="00C16FF6">
        <w:rPr>
          <w:szCs w:val="22"/>
        </w:rPr>
        <w:t>Analysis of used oil fuel.  A generator, transporter, processor/re-refiner, or burner may determine that used oil that is to be burned for energy recovery meets the fuel specifications of Sec. 279.11 by performing analyses or obtaining copies of analyses or other information documenting that the used oil fuel meets the specifications.  [40 CFR 279.72(a)]</w:t>
      </w:r>
    </w:p>
    <w:p w14:paraId="1E690A0F" w14:textId="110BF99D" w:rsidR="00A341AD" w:rsidRPr="00A341AD" w:rsidRDefault="00A341AD" w:rsidP="00061DE9">
      <w:pPr>
        <w:pStyle w:val="ListParagraph"/>
        <w:numPr>
          <w:ilvl w:val="0"/>
          <w:numId w:val="48"/>
        </w:numPr>
        <w:spacing w:before="120" w:after="120"/>
        <w:ind w:left="1080"/>
      </w:pPr>
      <w:r w:rsidRPr="00C16FF6">
        <w:rPr>
          <w:szCs w:val="22"/>
        </w:rPr>
        <w:t>Testing of used oil fuel.  Used oil to be burned for energy recovery is presumed to contain quantifiable levels (2 ppm) of PCB unless the marketer obtains analyses (testing) or other information that the used oil fuel does not contain quantifiable levels of PCBs.</w:t>
      </w:r>
    </w:p>
    <w:p w14:paraId="1373C58B" w14:textId="3742AFEE" w:rsidR="00A341AD" w:rsidRPr="00A341AD" w:rsidRDefault="00A341AD" w:rsidP="00061DE9">
      <w:pPr>
        <w:pStyle w:val="ListParagraph"/>
        <w:numPr>
          <w:ilvl w:val="0"/>
          <w:numId w:val="49"/>
        </w:numPr>
        <w:tabs>
          <w:tab w:val="left" w:pos="360"/>
          <w:tab w:val="left" w:pos="1080"/>
          <w:tab w:val="left" w:pos="1440"/>
        </w:tabs>
        <w:spacing w:before="120" w:after="120"/>
        <w:ind w:left="1440"/>
      </w:pPr>
      <w:r w:rsidRPr="00C16FF6">
        <w:rPr>
          <w:szCs w:val="22"/>
        </w:rPr>
        <w:t>The person who first claims that a used oil fuel does not contain quantifiable level (2 ppm) PCB must obtain analyses or other information to support that claim.</w:t>
      </w:r>
    </w:p>
    <w:p w14:paraId="146415BB" w14:textId="4859A4D0" w:rsidR="00A341AD" w:rsidRPr="00A341AD" w:rsidRDefault="00A341AD" w:rsidP="00061DE9">
      <w:pPr>
        <w:pStyle w:val="ListParagraph"/>
        <w:numPr>
          <w:ilvl w:val="0"/>
          <w:numId w:val="49"/>
        </w:numPr>
        <w:tabs>
          <w:tab w:val="left" w:pos="360"/>
          <w:tab w:val="left" w:pos="1080"/>
          <w:tab w:val="left" w:pos="1440"/>
        </w:tabs>
        <w:spacing w:before="120" w:after="120"/>
        <w:ind w:left="1440"/>
      </w:pPr>
      <w:r w:rsidRPr="00C16FF6">
        <w:rPr>
          <w:szCs w:val="22"/>
        </w:rPr>
        <w:t>Testing to determine the PCB concentration in used oil may be conducted on individual samples, or in accordance with the testing procedures described in Sec. 761.60(g)(2).  However, for purposes of this part, if any PCBs at a concentration of 50 ppm or greater have been added to the container or equipment, then the total container contents must be considered as having a PCB concentration of 50 ppm or greater for purposes of complying with the disposal requirements of this part.</w:t>
      </w:r>
    </w:p>
    <w:p w14:paraId="32149668" w14:textId="4C1C5607" w:rsidR="00A341AD" w:rsidRPr="00A341AD" w:rsidRDefault="00A341AD" w:rsidP="00061DE9">
      <w:pPr>
        <w:pStyle w:val="ListParagraph"/>
        <w:numPr>
          <w:ilvl w:val="0"/>
          <w:numId w:val="49"/>
        </w:numPr>
        <w:tabs>
          <w:tab w:val="left" w:pos="360"/>
          <w:tab w:val="left" w:pos="1080"/>
          <w:tab w:val="left" w:pos="1440"/>
        </w:tabs>
        <w:spacing w:before="120" w:after="120"/>
        <w:ind w:left="1440"/>
      </w:pPr>
      <w:r w:rsidRPr="00C16FF6">
        <w:rPr>
          <w:szCs w:val="22"/>
        </w:rPr>
        <w:t>Other information documenting that the used oil fuel does not contain quantifiable levels (2 ppm) of PCBs may consist of either personal, special knowledge of the source and composition of the used oil, or a certification from the person generating the used oil claiming that the oil contains no detectable PCBs.</w:t>
      </w:r>
    </w:p>
    <w:p w14:paraId="761D2919" w14:textId="6BEE50E6" w:rsidR="00A341AD" w:rsidRDefault="00A341AD" w:rsidP="00A341AD">
      <w:pPr>
        <w:pStyle w:val="ListParagraph"/>
        <w:tabs>
          <w:tab w:val="left" w:pos="360"/>
          <w:tab w:val="left" w:pos="1080"/>
          <w:tab w:val="left" w:pos="1440"/>
        </w:tabs>
        <w:spacing w:before="120" w:after="120"/>
        <w:ind w:left="1080"/>
        <w:rPr>
          <w:szCs w:val="22"/>
        </w:rPr>
      </w:pPr>
      <w:r w:rsidRPr="00C16FF6">
        <w:rPr>
          <w:szCs w:val="22"/>
        </w:rPr>
        <w:t>[40 CFR 761.20(e)(2)]</w:t>
      </w:r>
    </w:p>
    <w:p w14:paraId="30A27148" w14:textId="6C83E3DD" w:rsidR="00A341AD" w:rsidRPr="00A341AD" w:rsidRDefault="00A341AD" w:rsidP="00061DE9">
      <w:pPr>
        <w:pStyle w:val="ListParagraph"/>
        <w:numPr>
          <w:ilvl w:val="0"/>
          <w:numId w:val="48"/>
        </w:numPr>
        <w:spacing w:before="120" w:after="120"/>
        <w:ind w:left="1080"/>
      </w:pPr>
      <w:r w:rsidRPr="00C16FF6">
        <w:rPr>
          <w:szCs w:val="22"/>
        </w:rPr>
        <w:t>Testing Requirements.  When testing is required, the owner or operator shall sample and analyze each batch of used oil to be burned for the following parameters:  Arsenic, cadmium, chromium, lead, total halogens, flash point and PCBs.</w:t>
      </w:r>
      <w:r>
        <w:rPr>
          <w:szCs w:val="22"/>
        </w:rPr>
        <w:t xml:space="preserve">  </w:t>
      </w:r>
      <w:r w:rsidRPr="00C16FF6">
        <w:rPr>
          <w:szCs w:val="22"/>
        </w:rPr>
        <w:t>Testing (sampling, extraction and analysis) shall be performed using approved methods specified in EPA Publication SW-846 (Test Methods for Evaluating Solid Waste, Physical/Chemical Methods).</w:t>
      </w:r>
    </w:p>
    <w:p w14:paraId="1AC98A2D" w14:textId="78EA806C" w:rsidR="00A341AD" w:rsidRPr="00A341AD" w:rsidRDefault="00A341AD" w:rsidP="00061DE9">
      <w:pPr>
        <w:pStyle w:val="ListParagraph"/>
        <w:numPr>
          <w:ilvl w:val="0"/>
          <w:numId w:val="48"/>
        </w:numPr>
        <w:spacing w:before="120" w:after="120"/>
        <w:ind w:left="1080"/>
      </w:pPr>
      <w:r w:rsidRPr="00C16FF6">
        <w:rPr>
          <w:szCs w:val="22"/>
        </w:rPr>
        <w:t>In addition to the above requirements, the owner or operator shall sample and analyze each batch of used oil to be burned for the sulfur content (by weight), density and heat content in accordance with approved test methods.</w:t>
      </w:r>
    </w:p>
    <w:p w14:paraId="1F3E1EC4" w14:textId="6D306C53" w:rsidR="00A341AD" w:rsidRPr="00A341AD" w:rsidRDefault="00A341AD" w:rsidP="00061DE9">
      <w:pPr>
        <w:pStyle w:val="ListParagraph"/>
        <w:numPr>
          <w:ilvl w:val="0"/>
          <w:numId w:val="47"/>
        </w:numPr>
        <w:spacing w:after="120"/>
        <w:ind w:left="720"/>
      </w:pPr>
      <w:r w:rsidRPr="00C16FF6">
        <w:rPr>
          <w:i/>
          <w:szCs w:val="22"/>
        </w:rPr>
        <w:t>Record Keeping Requirements</w:t>
      </w:r>
      <w:r w:rsidRPr="00C16FF6">
        <w:rPr>
          <w:szCs w:val="22"/>
        </w:rPr>
        <w:t>.  The owner or operator shall obtain, make, and keep the following records related to the use of used oil in a form suitable for inspection at the facility by the Department:</w:t>
      </w:r>
    </w:p>
    <w:p w14:paraId="75B8A442" w14:textId="574D9C07" w:rsidR="00A341AD" w:rsidRPr="00A341AD" w:rsidRDefault="00A341AD" w:rsidP="00061DE9">
      <w:pPr>
        <w:pStyle w:val="ListParagraph"/>
        <w:numPr>
          <w:ilvl w:val="0"/>
          <w:numId w:val="47"/>
        </w:numPr>
        <w:spacing w:after="120"/>
        <w:ind w:left="720"/>
      </w:pPr>
      <w:r w:rsidRPr="00C16FF6">
        <w:rPr>
          <w:i/>
          <w:szCs w:val="22"/>
        </w:rPr>
        <w:t>Reporting Requirements</w:t>
      </w:r>
      <w:r w:rsidRPr="00C16FF6">
        <w:rPr>
          <w:szCs w:val="22"/>
        </w:rPr>
        <w:t>.  The owner or operator shall submit, with the Annual Operation Report form, the analytical results required above and the total amount of on-specification used oil placed into inventory to be burned and the total amount of on-specification used oil burned during the previous calendar year.</w:t>
      </w:r>
    </w:p>
    <w:p w14:paraId="5767AEDB" w14:textId="199CB491" w:rsidR="00A341AD" w:rsidRPr="00A341AD" w:rsidRDefault="00A341AD" w:rsidP="00A341AD">
      <w:pPr>
        <w:pStyle w:val="ListParagraph"/>
        <w:tabs>
          <w:tab w:val="left" w:pos="360"/>
          <w:tab w:val="left" w:pos="1080"/>
          <w:tab w:val="left" w:pos="1440"/>
        </w:tabs>
        <w:spacing w:before="120" w:after="120"/>
        <w:ind w:left="360"/>
      </w:pPr>
      <w:r w:rsidRPr="00C16FF6">
        <w:rPr>
          <w:szCs w:val="22"/>
        </w:rPr>
        <w:t>[Rules 62-4.070(3) &amp; 62-213.440, F.A.C., 40 CFR 279 &amp; 40 CFR 761, and, Permit Nos. AO43-170568 &amp; AO43-170567, unless otherwise noted.]</w:t>
      </w:r>
    </w:p>
    <w:p w14:paraId="1501DBC3" w14:textId="7C4E3595" w:rsidR="001F663E" w:rsidRDefault="001F663E" w:rsidP="001F663E">
      <w:pPr>
        <w:tabs>
          <w:tab w:val="left" w:pos="1080"/>
          <w:tab w:val="left" w:pos="1440"/>
        </w:tabs>
        <w:spacing w:after="120"/>
        <w:rPr>
          <w:b/>
          <w:u w:val="single"/>
        </w:rPr>
      </w:pPr>
      <w:r w:rsidRPr="00B33C23">
        <w:rPr>
          <w:b/>
          <w:u w:val="single"/>
        </w:rPr>
        <w:t>Excess Emissions</w:t>
      </w:r>
    </w:p>
    <w:p w14:paraId="0358879C" w14:textId="77777777" w:rsidR="00EF0590" w:rsidRPr="00EF0590" w:rsidRDefault="00EF0590" w:rsidP="001F663E">
      <w:pPr>
        <w:tabs>
          <w:tab w:val="left" w:pos="1080"/>
          <w:tab w:val="left" w:pos="1440"/>
        </w:tabs>
        <w:spacing w:after="120"/>
      </w:pPr>
      <w:r w:rsidRPr="00C66B90">
        <w:rPr>
          <w:szCs w:val="22"/>
        </w:rPr>
        <w:t>Rule 62-210.700</w:t>
      </w:r>
      <w:r>
        <w:rPr>
          <w:szCs w:val="22"/>
        </w:rPr>
        <w:t xml:space="preserve"> (</w:t>
      </w:r>
      <w:r w:rsidRPr="00C66B90">
        <w:rPr>
          <w:szCs w:val="22"/>
        </w:rPr>
        <w:t>Excess Emissions</w:t>
      </w:r>
      <w:r>
        <w:rPr>
          <w:szCs w:val="22"/>
        </w:rPr>
        <w:t>)</w:t>
      </w:r>
      <w:r w:rsidRPr="00C66B90">
        <w:rPr>
          <w:szCs w:val="22"/>
        </w:rPr>
        <w:t>, F.A.C. cannot vary any requirement of a</w:t>
      </w:r>
      <w:r>
        <w:rPr>
          <w:szCs w:val="22"/>
        </w:rPr>
        <w:t>n</w:t>
      </w:r>
      <w:r w:rsidRPr="00C66B90">
        <w:rPr>
          <w:szCs w:val="22"/>
        </w:rPr>
        <w:t xml:space="preserve"> NSPS, NESHAP </w:t>
      </w:r>
      <w:r>
        <w:rPr>
          <w:szCs w:val="22"/>
        </w:rPr>
        <w:t>or Acid Rain program provision.</w:t>
      </w:r>
    </w:p>
    <w:p w14:paraId="2E4205CF" w14:textId="077C1B3F" w:rsidR="007B58F9" w:rsidRPr="007B58F9" w:rsidRDefault="00731492" w:rsidP="005B0CC1">
      <w:pPr>
        <w:numPr>
          <w:ilvl w:val="0"/>
          <w:numId w:val="2"/>
        </w:numPr>
        <w:tabs>
          <w:tab w:val="left" w:pos="360"/>
          <w:tab w:val="num" w:pos="720"/>
          <w:tab w:val="left" w:pos="1080"/>
          <w:tab w:val="left" w:pos="1440"/>
        </w:tabs>
        <w:spacing w:after="120"/>
        <w:ind w:left="360" w:hanging="360"/>
      </w:pPr>
      <w:bookmarkStart w:id="30" w:name="_Hlk519847335"/>
      <w:r w:rsidRPr="00C16FF6">
        <w:rPr>
          <w:szCs w:val="22"/>
          <w:u w:val="single"/>
        </w:rPr>
        <w:t>NSPS</w:t>
      </w:r>
      <w:r>
        <w:rPr>
          <w:szCs w:val="22"/>
          <w:u w:val="single"/>
        </w:rPr>
        <w:t xml:space="preserve"> </w:t>
      </w:r>
      <w:r w:rsidRPr="00C94822">
        <w:rPr>
          <w:szCs w:val="22"/>
          <w:u w:val="single"/>
        </w:rPr>
        <w:t>Best Operational Procedures</w:t>
      </w:r>
      <w:r w:rsidRPr="00C16FF6">
        <w:rPr>
          <w:szCs w:val="22"/>
        </w:rPr>
        <w:t xml:space="preserve">.  At all times, including periods of startup, shutdown, and malfunction, owners and operators shall, to the extent practicable, maintain and operate any affected facility including associated air pollution control equipment in a manner consistent with good air pollution control practice for minimizing emissions.  Determination of whether acceptable operating and maintenance procedures are being used will be based on information available to the </w:t>
      </w:r>
      <w:r w:rsidR="00CA14FB" w:rsidRPr="00C94822">
        <w:rPr>
          <w:szCs w:val="22"/>
        </w:rPr>
        <w:t>Department</w:t>
      </w:r>
      <w:r w:rsidR="00CA14FB">
        <w:rPr>
          <w:szCs w:val="22"/>
        </w:rPr>
        <w:t xml:space="preserve"> </w:t>
      </w:r>
      <w:r w:rsidRPr="00C16FF6">
        <w:rPr>
          <w:szCs w:val="22"/>
        </w:rPr>
        <w:t>which may include, but is not limited to, monitoring results, opacity observations, review of operating and maintenance procedures, and inspection of the source.  [40 CFR 60.11(d)]</w:t>
      </w:r>
    </w:p>
    <w:p w14:paraId="76570EE3" w14:textId="68309DF6" w:rsidR="00EF0590" w:rsidRPr="008817D4" w:rsidRDefault="008817D4" w:rsidP="008817D4">
      <w:pPr>
        <w:numPr>
          <w:ilvl w:val="0"/>
          <w:numId w:val="2"/>
        </w:numPr>
        <w:tabs>
          <w:tab w:val="left" w:pos="360"/>
          <w:tab w:val="num" w:pos="720"/>
          <w:tab w:val="left" w:pos="1080"/>
          <w:tab w:val="left" w:pos="1440"/>
        </w:tabs>
        <w:ind w:left="360" w:hanging="360"/>
      </w:pPr>
      <w:bookmarkStart w:id="31" w:name="_Hlk519847652"/>
      <w:bookmarkEnd w:id="30"/>
      <w:r w:rsidRPr="00C94822">
        <w:rPr>
          <w:szCs w:val="22"/>
          <w:u w:val="single"/>
        </w:rPr>
        <w:t>Excess Emissions Allowed</w:t>
      </w:r>
      <w:r w:rsidR="003706C0" w:rsidRPr="00C16FF6">
        <w:rPr>
          <w:szCs w:val="22"/>
        </w:rPr>
        <w:t xml:space="preserve">.  </w:t>
      </w:r>
      <w:r w:rsidRPr="00C16FF6">
        <w:rPr>
          <w:szCs w:val="22"/>
        </w:rPr>
        <w:t xml:space="preserve">Excess emissions resulting from startup, shutdown or malfunction of any emissions unit shall be permitted </w:t>
      </w:r>
      <w:r w:rsidRPr="00C94822">
        <w:rPr>
          <w:szCs w:val="22"/>
        </w:rPr>
        <w:t>provided</w:t>
      </w:r>
      <w:r w:rsidRPr="008817D4">
        <w:rPr>
          <w:szCs w:val="22"/>
        </w:rPr>
        <w:t>:</w:t>
      </w:r>
      <w:bookmarkEnd w:id="31"/>
    </w:p>
    <w:p w14:paraId="004ED19B" w14:textId="026051B3" w:rsidR="008817D4" w:rsidRPr="008817D4" w:rsidRDefault="008817D4" w:rsidP="00061DE9">
      <w:pPr>
        <w:pStyle w:val="ListParagraph"/>
        <w:numPr>
          <w:ilvl w:val="0"/>
          <w:numId w:val="50"/>
        </w:numPr>
        <w:tabs>
          <w:tab w:val="left" w:pos="360"/>
          <w:tab w:val="left" w:pos="1080"/>
          <w:tab w:val="left" w:pos="1440"/>
        </w:tabs>
        <w:spacing w:after="120"/>
      </w:pPr>
      <w:bookmarkStart w:id="32" w:name="_Hlk519847679"/>
      <w:r w:rsidRPr="00C16FF6">
        <w:rPr>
          <w:szCs w:val="22"/>
        </w:rPr>
        <w:t>best operational practices to minimize emissions are adhered to, and</w:t>
      </w:r>
      <w:bookmarkEnd w:id="32"/>
    </w:p>
    <w:p w14:paraId="442AEAD0" w14:textId="53EB63F8" w:rsidR="008817D4" w:rsidRPr="00C94822" w:rsidRDefault="008817D4" w:rsidP="00061DE9">
      <w:pPr>
        <w:pStyle w:val="ListParagraph"/>
        <w:numPr>
          <w:ilvl w:val="0"/>
          <w:numId w:val="50"/>
        </w:numPr>
        <w:tabs>
          <w:tab w:val="left" w:pos="360"/>
          <w:tab w:val="left" w:pos="1080"/>
          <w:tab w:val="left" w:pos="1440"/>
        </w:tabs>
        <w:spacing w:after="120"/>
      </w:pPr>
      <w:bookmarkStart w:id="33" w:name="_Hlk519847691"/>
      <w:r w:rsidRPr="00C16FF6">
        <w:rPr>
          <w:szCs w:val="22"/>
        </w:rPr>
        <w:t xml:space="preserve">the duration of excess </w:t>
      </w:r>
      <w:r w:rsidRPr="00C94822">
        <w:rPr>
          <w:szCs w:val="22"/>
        </w:rPr>
        <w:t>emissions shall be minimized but in no case exceed two hours in any 24-hour period unless specifically authorized by the Department for longer duration.</w:t>
      </w:r>
      <w:bookmarkEnd w:id="33"/>
    </w:p>
    <w:p w14:paraId="6CCDFCAE" w14:textId="6A678E23" w:rsidR="008817D4" w:rsidRDefault="008817D4" w:rsidP="008817D4">
      <w:pPr>
        <w:pStyle w:val="ListParagraph"/>
        <w:tabs>
          <w:tab w:val="left" w:pos="360"/>
          <w:tab w:val="left" w:pos="1080"/>
          <w:tab w:val="left" w:pos="1440"/>
        </w:tabs>
        <w:spacing w:after="120"/>
        <w:ind w:left="360"/>
      </w:pPr>
      <w:bookmarkStart w:id="34" w:name="_Hlk519847703"/>
      <w:r w:rsidRPr="00C94822">
        <w:rPr>
          <w:szCs w:val="22"/>
        </w:rPr>
        <w:t>[Rules 62-210.700(1), F.A.C.; and, Permit Nos. AO43-170568 &amp; AO43-170567, Specific Condition 9.]</w:t>
      </w:r>
      <w:bookmarkEnd w:id="34"/>
    </w:p>
    <w:p w14:paraId="13E54D84" w14:textId="176F1ADF" w:rsidR="002936F1" w:rsidRPr="007623EE" w:rsidRDefault="002936F1" w:rsidP="005B0CC1">
      <w:pPr>
        <w:numPr>
          <w:ilvl w:val="0"/>
          <w:numId w:val="2"/>
        </w:numPr>
        <w:tabs>
          <w:tab w:val="left" w:pos="360"/>
          <w:tab w:val="left" w:pos="720"/>
          <w:tab w:val="num" w:pos="1080"/>
        </w:tabs>
        <w:spacing w:after="120"/>
        <w:ind w:left="360" w:hanging="360"/>
        <w:rPr>
          <w:szCs w:val="22"/>
        </w:rPr>
      </w:pPr>
      <w:bookmarkStart w:id="35" w:name="_Hlk519847778"/>
      <w:r w:rsidRPr="007623EE">
        <w:rPr>
          <w:szCs w:val="22"/>
          <w:u w:val="single"/>
        </w:rPr>
        <w:t>Excess Emissions Prohibited</w:t>
      </w:r>
      <w:r w:rsidRPr="007623EE">
        <w:rPr>
          <w:szCs w:val="22"/>
        </w:rPr>
        <w:t xml:space="preserve">.  </w:t>
      </w:r>
      <w:r w:rsidR="00E9378E" w:rsidRPr="007623EE">
        <w:t>Excess emissions which are caused entirely or in part by poor maintenance, poor operation, or any other equipment or process failure which may reasonably be prevented during startup, shutdown or malfunction shall be prohibited.  [Rule 62-210.700(</w:t>
      </w:r>
      <w:r w:rsidR="008817D4" w:rsidRPr="007623EE">
        <w:t>1</w:t>
      </w:r>
      <w:r w:rsidR="00E9378E" w:rsidRPr="007623EE">
        <w:t>), F.A.C.]</w:t>
      </w:r>
      <w:bookmarkEnd w:id="35"/>
    </w:p>
    <w:p w14:paraId="22ACE18B" w14:textId="5924D48A" w:rsidR="006311D3" w:rsidRPr="007623EE" w:rsidRDefault="00E71FD8" w:rsidP="00914EB7">
      <w:pPr>
        <w:numPr>
          <w:ilvl w:val="0"/>
          <w:numId w:val="2"/>
        </w:numPr>
        <w:tabs>
          <w:tab w:val="left" w:pos="360"/>
          <w:tab w:val="left" w:pos="720"/>
          <w:tab w:val="num" w:pos="1080"/>
        </w:tabs>
        <w:ind w:left="360" w:hanging="360"/>
        <w:rPr>
          <w:szCs w:val="22"/>
        </w:rPr>
      </w:pPr>
      <w:bookmarkStart w:id="36" w:name="_Hlk519848607"/>
      <w:bookmarkStart w:id="37" w:name="_Hlk523228583"/>
      <w:r w:rsidRPr="007623EE">
        <w:rPr>
          <w:szCs w:val="22"/>
          <w:u w:val="single"/>
        </w:rPr>
        <w:t>NSPS Excess Emissions</w:t>
      </w:r>
      <w:r w:rsidR="006E64BD" w:rsidRPr="007623EE">
        <w:rPr>
          <w:szCs w:val="22"/>
        </w:rPr>
        <w:t xml:space="preserve">.  Excess emissions </w:t>
      </w:r>
      <w:r w:rsidR="00541243" w:rsidRPr="007623EE">
        <w:rPr>
          <w:szCs w:val="22"/>
        </w:rPr>
        <w:t>with respect to the</w:t>
      </w:r>
      <w:r w:rsidR="00B93D11" w:rsidRPr="007623EE">
        <w:rPr>
          <w:szCs w:val="22"/>
        </w:rPr>
        <w:t xml:space="preserve"> emissions</w:t>
      </w:r>
      <w:r w:rsidR="00541243" w:rsidRPr="007623EE">
        <w:rPr>
          <w:szCs w:val="22"/>
        </w:rPr>
        <w:t xml:space="preserve"> standards in NSPS Subpart D are defined as follows:</w:t>
      </w:r>
      <w:bookmarkEnd w:id="36"/>
    </w:p>
    <w:p w14:paraId="1F4CF883" w14:textId="5AB1478E" w:rsidR="00541243" w:rsidRPr="007623EE" w:rsidRDefault="00541243" w:rsidP="00061DE9">
      <w:pPr>
        <w:pStyle w:val="ListParagraph"/>
        <w:numPr>
          <w:ilvl w:val="0"/>
          <w:numId w:val="51"/>
        </w:numPr>
        <w:spacing w:after="120"/>
        <w:ind w:left="720"/>
        <w:rPr>
          <w:szCs w:val="22"/>
        </w:rPr>
      </w:pPr>
      <w:bookmarkStart w:id="38" w:name="_Hlk519848745"/>
      <w:r w:rsidRPr="007623EE">
        <w:rPr>
          <w:i/>
          <w:szCs w:val="22"/>
        </w:rPr>
        <w:t>Visible Emissions</w:t>
      </w:r>
      <w:r w:rsidRPr="007623EE">
        <w:rPr>
          <w:szCs w:val="22"/>
        </w:rPr>
        <w:t xml:space="preserve">.  Excess VE are defined as any 6-minute period during which the average opacity of emissions exceeds 20% opacity, except that one 6-minute average per hour of up to 27% opacity need not need be reported (see Specific Condition </w:t>
      </w:r>
      <w:r w:rsidRPr="007623EE">
        <w:rPr>
          <w:b/>
          <w:szCs w:val="22"/>
        </w:rPr>
        <w:fldChar w:fldCharType="begin"/>
      </w:r>
      <w:r w:rsidRPr="007623EE">
        <w:rPr>
          <w:b/>
          <w:szCs w:val="22"/>
        </w:rPr>
        <w:instrText xml:space="preserve"> REF _Hlk519776981 \r \h  \* MERGEFORMAT </w:instrText>
      </w:r>
      <w:r w:rsidRPr="007623EE">
        <w:rPr>
          <w:b/>
          <w:szCs w:val="22"/>
        </w:rPr>
      </w:r>
      <w:r w:rsidRPr="007623EE">
        <w:rPr>
          <w:b/>
          <w:szCs w:val="22"/>
        </w:rPr>
        <w:fldChar w:fldCharType="separate"/>
      </w:r>
      <w:r w:rsidR="00D31800">
        <w:rPr>
          <w:b/>
          <w:szCs w:val="22"/>
        </w:rPr>
        <w:t>A.9</w:t>
      </w:r>
      <w:r w:rsidRPr="007623EE">
        <w:rPr>
          <w:b/>
          <w:szCs w:val="22"/>
        </w:rPr>
        <w:fldChar w:fldCharType="end"/>
      </w:r>
      <w:r w:rsidRPr="007623EE">
        <w:rPr>
          <w:szCs w:val="22"/>
        </w:rPr>
        <w:t>).</w:t>
      </w:r>
      <w:bookmarkEnd w:id="38"/>
    </w:p>
    <w:p w14:paraId="37E4B823" w14:textId="1A439DE6" w:rsidR="00541243" w:rsidRPr="007623EE" w:rsidRDefault="00541243" w:rsidP="00061DE9">
      <w:pPr>
        <w:pStyle w:val="ListParagraph"/>
        <w:numPr>
          <w:ilvl w:val="0"/>
          <w:numId w:val="51"/>
        </w:numPr>
        <w:spacing w:after="120"/>
        <w:ind w:left="720"/>
        <w:rPr>
          <w:szCs w:val="22"/>
        </w:rPr>
      </w:pPr>
      <w:bookmarkStart w:id="39" w:name="_Hlk519848922"/>
      <w:r w:rsidRPr="007623EE">
        <w:rPr>
          <w:i/>
          <w:szCs w:val="22"/>
        </w:rPr>
        <w:t>Sulfur Dioxide</w:t>
      </w:r>
      <w:r w:rsidRPr="007623EE">
        <w:rPr>
          <w:szCs w:val="22"/>
        </w:rPr>
        <w:t>.  Excess SO</w:t>
      </w:r>
      <w:r w:rsidRPr="007623EE">
        <w:rPr>
          <w:szCs w:val="22"/>
          <w:vertAlign w:val="subscript"/>
        </w:rPr>
        <w:t>2</w:t>
      </w:r>
      <w:r w:rsidRPr="007623EE">
        <w:rPr>
          <w:szCs w:val="22"/>
        </w:rPr>
        <w:t xml:space="preserve"> emissions are defined as any 3-hour period during which the average emissions (arithmetic average of 3 contiguous 1-hour periods) of SO</w:t>
      </w:r>
      <w:r w:rsidRPr="007623EE">
        <w:rPr>
          <w:szCs w:val="22"/>
          <w:vertAlign w:val="subscript"/>
        </w:rPr>
        <w:t>2</w:t>
      </w:r>
      <w:r w:rsidRPr="007623EE">
        <w:rPr>
          <w:szCs w:val="22"/>
        </w:rPr>
        <w:t xml:space="preserve"> as measured by a CEMS exceed the applicable standard in Specific Condition </w:t>
      </w:r>
      <w:r w:rsidRPr="007623EE">
        <w:rPr>
          <w:b/>
          <w:szCs w:val="22"/>
        </w:rPr>
        <w:fldChar w:fldCharType="begin"/>
      </w:r>
      <w:r w:rsidRPr="007623EE">
        <w:rPr>
          <w:b/>
          <w:szCs w:val="22"/>
        </w:rPr>
        <w:instrText xml:space="preserve"> REF _Ref519845408 \r \h  \* MERGEFORMAT </w:instrText>
      </w:r>
      <w:r w:rsidRPr="007623EE">
        <w:rPr>
          <w:b/>
          <w:szCs w:val="22"/>
        </w:rPr>
      </w:r>
      <w:r w:rsidRPr="007623EE">
        <w:rPr>
          <w:b/>
          <w:szCs w:val="22"/>
        </w:rPr>
        <w:fldChar w:fldCharType="separate"/>
      </w:r>
      <w:r w:rsidR="00D31800">
        <w:rPr>
          <w:b/>
          <w:szCs w:val="22"/>
        </w:rPr>
        <w:t>A.10</w:t>
      </w:r>
      <w:r w:rsidRPr="007623EE">
        <w:rPr>
          <w:b/>
          <w:szCs w:val="22"/>
        </w:rPr>
        <w:fldChar w:fldCharType="end"/>
      </w:r>
      <w:r w:rsidRPr="007623EE">
        <w:rPr>
          <w:szCs w:val="22"/>
        </w:rPr>
        <w:t>.</w:t>
      </w:r>
      <w:bookmarkEnd w:id="39"/>
    </w:p>
    <w:p w14:paraId="42B06536" w14:textId="283E8C55" w:rsidR="002B1CA2" w:rsidRPr="007623EE" w:rsidRDefault="002B1CA2" w:rsidP="00061DE9">
      <w:pPr>
        <w:pStyle w:val="ListParagraph"/>
        <w:numPr>
          <w:ilvl w:val="0"/>
          <w:numId w:val="51"/>
        </w:numPr>
        <w:ind w:left="720"/>
        <w:rPr>
          <w:szCs w:val="22"/>
        </w:rPr>
      </w:pPr>
      <w:bookmarkStart w:id="40" w:name="_Hlk519848943"/>
      <w:r w:rsidRPr="007623EE">
        <w:rPr>
          <w:i/>
          <w:szCs w:val="22"/>
        </w:rPr>
        <w:t>Nitrogen Oxides</w:t>
      </w:r>
      <w:r w:rsidRPr="007623EE">
        <w:rPr>
          <w:szCs w:val="22"/>
        </w:rPr>
        <w:t>.  Excess NO</w:t>
      </w:r>
      <w:r w:rsidRPr="007623EE">
        <w:rPr>
          <w:szCs w:val="22"/>
          <w:vertAlign w:val="subscript"/>
        </w:rPr>
        <w:t>X</w:t>
      </w:r>
      <w:r w:rsidRPr="007623EE">
        <w:rPr>
          <w:szCs w:val="22"/>
        </w:rPr>
        <w:t xml:space="preserve"> emissions are defined as any 3-hour period during which the average emissions (arithmetic average of 3 contiguous 1-hour periods) exceed the applicable standard in Specific Condition </w:t>
      </w:r>
      <w:r w:rsidRPr="007623EE">
        <w:rPr>
          <w:b/>
          <w:szCs w:val="22"/>
        </w:rPr>
        <w:fldChar w:fldCharType="begin"/>
      </w:r>
      <w:r w:rsidRPr="007623EE">
        <w:rPr>
          <w:b/>
          <w:szCs w:val="22"/>
        </w:rPr>
        <w:instrText xml:space="preserve"> REF _Ref519845638 \r \h  \* MERGEFORMAT </w:instrText>
      </w:r>
      <w:r w:rsidRPr="007623EE">
        <w:rPr>
          <w:b/>
          <w:szCs w:val="22"/>
        </w:rPr>
      </w:r>
      <w:r w:rsidRPr="007623EE">
        <w:rPr>
          <w:b/>
          <w:szCs w:val="22"/>
        </w:rPr>
        <w:fldChar w:fldCharType="separate"/>
      </w:r>
      <w:r w:rsidR="00D31800">
        <w:rPr>
          <w:b/>
          <w:szCs w:val="22"/>
        </w:rPr>
        <w:t>A.11</w:t>
      </w:r>
      <w:r w:rsidRPr="007623EE">
        <w:rPr>
          <w:b/>
          <w:szCs w:val="22"/>
        </w:rPr>
        <w:fldChar w:fldCharType="end"/>
      </w:r>
      <w:r w:rsidRPr="007623EE">
        <w:rPr>
          <w:szCs w:val="22"/>
        </w:rPr>
        <w:t>.</w:t>
      </w:r>
      <w:bookmarkEnd w:id="40"/>
    </w:p>
    <w:p w14:paraId="0F455AFA" w14:textId="4DB21463" w:rsidR="00541243" w:rsidRPr="007623EE" w:rsidRDefault="000E0084" w:rsidP="00914EB7">
      <w:pPr>
        <w:tabs>
          <w:tab w:val="left" w:pos="360"/>
          <w:tab w:val="left" w:pos="720"/>
        </w:tabs>
        <w:spacing w:after="120"/>
        <w:ind w:left="360"/>
        <w:rPr>
          <w:szCs w:val="22"/>
        </w:rPr>
      </w:pPr>
      <w:bookmarkStart w:id="41" w:name="_Hlk519848964"/>
      <w:r w:rsidRPr="007623EE">
        <w:rPr>
          <w:szCs w:val="22"/>
        </w:rPr>
        <w:t>[40 CFR 60.45(g)(1)</w:t>
      </w:r>
      <w:r w:rsidR="00914EB7" w:rsidRPr="007623EE">
        <w:rPr>
          <w:szCs w:val="22"/>
        </w:rPr>
        <w:t>, (2) &amp; (3)]</w:t>
      </w:r>
      <w:bookmarkEnd w:id="41"/>
    </w:p>
    <w:p w14:paraId="2C6BE8CF" w14:textId="33220881" w:rsidR="00EF0590" w:rsidRPr="007623EE" w:rsidRDefault="00EF0590" w:rsidP="00EF0590">
      <w:pPr>
        <w:tabs>
          <w:tab w:val="left" w:pos="0"/>
        </w:tabs>
        <w:suppressAutoHyphens/>
        <w:spacing w:before="120" w:after="120"/>
        <w:rPr>
          <w:b/>
          <w:u w:val="single"/>
        </w:rPr>
      </w:pPr>
      <w:bookmarkStart w:id="42" w:name="_Hlk519854306"/>
      <w:bookmarkEnd w:id="37"/>
      <w:r w:rsidRPr="007623EE">
        <w:rPr>
          <w:b/>
          <w:u w:val="single"/>
        </w:rPr>
        <w:t>Monitoring</w:t>
      </w:r>
      <w:r w:rsidR="0084048B" w:rsidRPr="007623EE">
        <w:rPr>
          <w:b/>
          <w:u w:val="single"/>
        </w:rPr>
        <w:t xml:space="preserve"> </w:t>
      </w:r>
      <w:r w:rsidRPr="007623EE">
        <w:rPr>
          <w:b/>
          <w:u w:val="single"/>
        </w:rPr>
        <w:t>of Operations</w:t>
      </w:r>
      <w:bookmarkEnd w:id="42"/>
    </w:p>
    <w:p w14:paraId="1426931F" w14:textId="686C07AF" w:rsidR="00E90DC2" w:rsidRPr="00E90DC2" w:rsidRDefault="00E90DC2" w:rsidP="005B0CC1">
      <w:pPr>
        <w:numPr>
          <w:ilvl w:val="0"/>
          <w:numId w:val="2"/>
        </w:numPr>
        <w:tabs>
          <w:tab w:val="left" w:pos="360"/>
          <w:tab w:val="num" w:pos="720"/>
        </w:tabs>
        <w:spacing w:after="120"/>
        <w:ind w:left="360" w:hanging="360"/>
      </w:pPr>
      <w:bookmarkStart w:id="43" w:name="_Hlk519851370"/>
      <w:r w:rsidRPr="00E90DC2">
        <w:rPr>
          <w:szCs w:val="22"/>
          <w:u w:val="single"/>
        </w:rPr>
        <w:t>CAM Plan</w:t>
      </w:r>
      <w:r>
        <w:rPr>
          <w:szCs w:val="22"/>
        </w:rPr>
        <w:t xml:space="preserve">.  </w:t>
      </w:r>
      <w:r w:rsidRPr="00DD7EF4">
        <w:rPr>
          <w:szCs w:val="22"/>
        </w:rPr>
        <w:t xml:space="preserve">When these emissions units meet the definition of “natural gas-fired electric utility steam generating </w:t>
      </w:r>
      <w:r w:rsidRPr="007623EE">
        <w:rPr>
          <w:szCs w:val="22"/>
        </w:rPr>
        <w:t>unit”</w:t>
      </w:r>
      <w:r w:rsidR="0084048B" w:rsidRPr="007623EE">
        <w:rPr>
          <w:szCs w:val="22"/>
        </w:rPr>
        <w:t>, as defined in 40 CFR 63.10042,</w:t>
      </w:r>
      <w:r w:rsidRPr="007623EE">
        <w:rPr>
          <w:szCs w:val="22"/>
        </w:rPr>
        <w:t xml:space="preserve"> these emissions units are subject to the Compliance Assurance Monitoring (CAM) requirements contained in the attached Appendix CAM.  Failure to adhere to the monitoring requirements specified does not necessarily indicate an exceedance of a specific emissions limitation; however, it may constitute good reason to require compliance testing pursuant to Rule 62-297.310(</w:t>
      </w:r>
      <w:r w:rsidR="0084048B" w:rsidRPr="007623EE">
        <w:rPr>
          <w:szCs w:val="22"/>
        </w:rPr>
        <w:t>8</w:t>
      </w:r>
      <w:r w:rsidRPr="007623EE">
        <w:rPr>
          <w:szCs w:val="22"/>
        </w:rPr>
        <w:t>)(</w:t>
      </w:r>
      <w:r w:rsidR="0084048B" w:rsidRPr="007623EE">
        <w:rPr>
          <w:szCs w:val="22"/>
        </w:rPr>
        <w:t>c</w:t>
      </w:r>
      <w:r w:rsidRPr="007623EE">
        <w:rPr>
          <w:szCs w:val="22"/>
        </w:rPr>
        <w:t>), F.A.C.  [Rules 62-204.800</w:t>
      </w:r>
      <w:r w:rsidR="0084048B" w:rsidRPr="007623EE">
        <w:rPr>
          <w:szCs w:val="22"/>
        </w:rPr>
        <w:t>; 40 CFR 64;</w:t>
      </w:r>
      <w:r w:rsidRPr="007623EE">
        <w:rPr>
          <w:szCs w:val="22"/>
        </w:rPr>
        <w:t xml:space="preserve"> and</w:t>
      </w:r>
      <w:r w:rsidR="0084048B" w:rsidRPr="007623EE">
        <w:rPr>
          <w:szCs w:val="22"/>
        </w:rPr>
        <w:t>,</w:t>
      </w:r>
      <w:r w:rsidRPr="007623EE">
        <w:rPr>
          <w:szCs w:val="22"/>
        </w:rPr>
        <w:t xml:space="preserve"> 62-213</w:t>
      </w:r>
      <w:r w:rsidRPr="00DD7EF4">
        <w:rPr>
          <w:szCs w:val="22"/>
        </w:rPr>
        <w:t>.440(1)(b)1.a., F.A.C.]</w:t>
      </w:r>
      <w:bookmarkEnd w:id="43"/>
    </w:p>
    <w:p w14:paraId="400873FD" w14:textId="77777777" w:rsidR="00905ECE" w:rsidRPr="007623EE" w:rsidRDefault="00905ECE" w:rsidP="00905ECE">
      <w:pPr>
        <w:tabs>
          <w:tab w:val="left" w:pos="0"/>
        </w:tabs>
        <w:suppressAutoHyphens/>
        <w:spacing w:before="120" w:after="120"/>
        <w:rPr>
          <w:b/>
          <w:u w:val="single"/>
        </w:rPr>
      </w:pPr>
      <w:r w:rsidRPr="007623EE">
        <w:rPr>
          <w:b/>
          <w:u w:val="single"/>
        </w:rPr>
        <w:t xml:space="preserve">Continuous </w:t>
      </w:r>
      <w:r w:rsidR="00321CFA" w:rsidRPr="007623EE">
        <w:rPr>
          <w:b/>
          <w:u w:val="single"/>
        </w:rPr>
        <w:t xml:space="preserve">Emissions </w:t>
      </w:r>
      <w:r w:rsidRPr="007623EE">
        <w:rPr>
          <w:b/>
          <w:u w:val="single"/>
        </w:rPr>
        <w:t>Monitoring Requirements</w:t>
      </w:r>
      <w:r w:rsidR="00771018" w:rsidRPr="007623EE">
        <w:rPr>
          <w:b/>
          <w:u w:val="single"/>
        </w:rPr>
        <w:t xml:space="preserve"> </w:t>
      </w:r>
    </w:p>
    <w:p w14:paraId="1F5696E4" w14:textId="136FA77C" w:rsidR="00771018" w:rsidRPr="007C29D5" w:rsidRDefault="007C29D5" w:rsidP="007C29D5">
      <w:pPr>
        <w:numPr>
          <w:ilvl w:val="0"/>
          <w:numId w:val="2"/>
        </w:numPr>
        <w:tabs>
          <w:tab w:val="left" w:pos="360"/>
          <w:tab w:val="num" w:pos="720"/>
        </w:tabs>
        <w:spacing w:after="120"/>
        <w:ind w:left="360" w:hanging="360"/>
      </w:pPr>
      <w:bookmarkStart w:id="44" w:name="_Ref504048687"/>
      <w:r w:rsidRPr="00C16FF6">
        <w:rPr>
          <w:szCs w:val="22"/>
          <w:u w:val="single"/>
        </w:rPr>
        <w:t>COMS for Periodic Monitoring</w:t>
      </w:r>
      <w:r w:rsidRPr="00C16FF6">
        <w:rPr>
          <w:szCs w:val="22"/>
        </w:rPr>
        <w:t xml:space="preserve">.  </w:t>
      </w:r>
      <w:r w:rsidRPr="00DD7EF4">
        <w:rPr>
          <w:szCs w:val="22"/>
        </w:rPr>
        <w:t>When required,</w:t>
      </w:r>
      <w:r>
        <w:rPr>
          <w:szCs w:val="22"/>
        </w:rPr>
        <w:t xml:space="preserve"> </w:t>
      </w:r>
      <w:r w:rsidRPr="00DD7EF4">
        <w:rPr>
          <w:szCs w:val="22"/>
        </w:rPr>
        <w:t>t</w:t>
      </w:r>
      <w:r w:rsidRPr="00C16FF6">
        <w:rPr>
          <w:szCs w:val="22"/>
        </w:rPr>
        <w:t xml:space="preserve">he owner or operator </w:t>
      </w:r>
      <w:r w:rsidRPr="00DD7EF4">
        <w:rPr>
          <w:szCs w:val="22"/>
        </w:rPr>
        <w:t>shall</w:t>
      </w:r>
      <w:r>
        <w:rPr>
          <w:szCs w:val="22"/>
        </w:rPr>
        <w:t xml:space="preserve"> </w:t>
      </w:r>
      <w:r w:rsidRPr="00151A18">
        <w:rPr>
          <w:szCs w:val="22"/>
        </w:rPr>
        <w:t>maintain</w:t>
      </w:r>
      <w:r w:rsidRPr="00C16FF6">
        <w:rPr>
          <w:szCs w:val="22"/>
        </w:rPr>
        <w:t xml:space="preserve"> and operate continuous opacity monitoring systems (COMS) pursuant to 40 CFR Part 75.  The owner or operator shall maintain and operate COMS and shall make and maintain records of opacity measured by the COMS, for purposes of periodic monitoring.  [Rule 62-213.440, F.A.C.; and applicant agreement with EPA on March 3, 1998]</w:t>
      </w:r>
      <w:bookmarkEnd w:id="44"/>
    </w:p>
    <w:p w14:paraId="20F04D48" w14:textId="2F7A0016" w:rsidR="007C29D5" w:rsidRPr="00771018" w:rsidRDefault="007C29D5" w:rsidP="007C29D5">
      <w:pPr>
        <w:tabs>
          <w:tab w:val="left" w:pos="360"/>
        </w:tabs>
        <w:spacing w:after="120"/>
        <w:ind w:left="360"/>
      </w:pPr>
      <w:bookmarkStart w:id="45" w:name="_Hlk519855043"/>
      <w:r w:rsidRPr="00DD7EF4">
        <w:rPr>
          <w:i/>
          <w:szCs w:val="22"/>
        </w:rPr>
        <w:t>{Permitting Note:  In addition, Units 1 or 2 are no longer required to operate continuous opacity monitors (COMS) so long as each unit maintains “gas-firing” status according to 40 CFR Part 75.  40 CFR Part 75 exempts “gas-fired” units from opacity monitor requirements by way of the definition in 40 CFR 72.2.  The Martin Units 1 &amp; 2 meet the gas-fired definition</w:t>
      </w:r>
      <w:r w:rsidRPr="007623EE">
        <w:rPr>
          <w:i/>
          <w:szCs w:val="22"/>
        </w:rPr>
        <w:t>.</w:t>
      </w:r>
      <w:r w:rsidR="007623EE" w:rsidRPr="007623EE">
        <w:rPr>
          <w:i/>
          <w:szCs w:val="22"/>
        </w:rPr>
        <w:t xml:space="preserve">  </w:t>
      </w:r>
      <w:r w:rsidRPr="007623EE">
        <w:rPr>
          <w:i/>
          <w:iCs/>
          <w:szCs w:val="22"/>
        </w:rPr>
        <w:t>The installation</w:t>
      </w:r>
      <w:r w:rsidRPr="00DD7EF4">
        <w:rPr>
          <w:i/>
          <w:iCs/>
          <w:szCs w:val="22"/>
        </w:rPr>
        <w:t xml:space="preserve"> of the ESPs, initial compliance test results from each unit, and implementation of a particulate matter continuous parametric monitoring system (PM CPMS) according to the requirements specified in MATS or a Continuous Assurance Monitoring (CAM) Plan for the “natural gas-fired electric utility steam generating unit</w:t>
      </w:r>
      <w:r w:rsidRPr="00DD59E0">
        <w:rPr>
          <w:i/>
          <w:iCs/>
          <w:szCs w:val="22"/>
        </w:rPr>
        <w:t>,” assures</w:t>
      </w:r>
      <w:r w:rsidRPr="00DD7EF4">
        <w:rPr>
          <w:i/>
          <w:iCs/>
          <w:szCs w:val="22"/>
        </w:rPr>
        <w:t xml:space="preserve"> that the NSPS 40 CFR 60 Subpart D limit of 0.10 lb/MMBtu will continuously be met and the COMS exemption criteria of 40 CFR 60.45(b)(8) would be satisfied.  </w:t>
      </w:r>
      <w:r w:rsidRPr="00DD7EF4">
        <w:rPr>
          <w:i/>
          <w:szCs w:val="22"/>
        </w:rPr>
        <w:t xml:space="preserve">Therefore, </w:t>
      </w:r>
      <w:r w:rsidRPr="00DD7EF4">
        <w:rPr>
          <w:i/>
          <w:iCs/>
          <w:szCs w:val="22"/>
        </w:rPr>
        <w:t>COMS</w:t>
      </w:r>
      <w:r w:rsidRPr="00DD7EF4">
        <w:rPr>
          <w:i/>
          <w:szCs w:val="22"/>
        </w:rPr>
        <w:t xml:space="preserve"> are no longer required.  In the future if FP&amp;L Martin Unit 1 or 2 fails to meet the definition of “gas-fired” in 40 CFR 72, then FP&amp;L has one year to install and certify an opacity monitor from the end of year in which the units at Martin do not meet the definition of a “gas-fired” unit in 40 CFR 72.2 and the COMS portions of the specific conditions of this permit shall once again apply.}</w:t>
      </w:r>
      <w:bookmarkEnd w:id="45"/>
    </w:p>
    <w:p w14:paraId="57E76478" w14:textId="3B6E2768" w:rsidR="00905ECE" w:rsidRPr="002E0C3D" w:rsidRDefault="002E0C3D" w:rsidP="005B0CC1">
      <w:pPr>
        <w:numPr>
          <w:ilvl w:val="0"/>
          <w:numId w:val="2"/>
        </w:numPr>
        <w:tabs>
          <w:tab w:val="num" w:pos="720"/>
        </w:tabs>
        <w:spacing w:after="120"/>
        <w:ind w:left="360" w:hanging="360"/>
      </w:pPr>
      <w:bookmarkStart w:id="46" w:name="_Ref519866698"/>
      <w:r w:rsidRPr="002E0C3D">
        <w:rPr>
          <w:szCs w:val="22"/>
          <w:u w:val="single"/>
        </w:rPr>
        <w:t>CEMS</w:t>
      </w:r>
      <w:r w:rsidRPr="002E0C3D">
        <w:rPr>
          <w:szCs w:val="22"/>
        </w:rPr>
        <w:t>.  The permittee has installed and shall continue to calibrate, maintain, and operate CEMS for measuring the opacity of emissions, sulfur dioxide emissions, nitrogen oxides emissions, and carbon dioxide</w:t>
      </w:r>
      <w:r w:rsidR="00616EBE">
        <w:rPr>
          <w:szCs w:val="22"/>
        </w:rPr>
        <w:t xml:space="preserve"> </w:t>
      </w:r>
      <w:r w:rsidR="00616EBE" w:rsidRPr="007623EE">
        <w:rPr>
          <w:szCs w:val="22"/>
        </w:rPr>
        <w:t>(CO</w:t>
      </w:r>
      <w:r w:rsidR="00616EBE" w:rsidRPr="007623EE">
        <w:rPr>
          <w:szCs w:val="22"/>
          <w:vertAlign w:val="subscript"/>
        </w:rPr>
        <w:t>2</w:t>
      </w:r>
      <w:r w:rsidR="00616EBE" w:rsidRPr="007623EE">
        <w:rPr>
          <w:szCs w:val="22"/>
        </w:rPr>
        <w:t>)</w:t>
      </w:r>
      <w:r w:rsidRPr="007623EE">
        <w:rPr>
          <w:szCs w:val="22"/>
        </w:rPr>
        <w:t xml:space="preserve"> emissions</w:t>
      </w:r>
      <w:r w:rsidRPr="002E0C3D">
        <w:rPr>
          <w:szCs w:val="22"/>
        </w:rPr>
        <w:t>.  Because these units do not use a flue gas desulfurization device, a CEMS for measuring SO</w:t>
      </w:r>
      <w:r w:rsidRPr="002E0C3D">
        <w:rPr>
          <w:szCs w:val="22"/>
          <w:vertAlign w:val="subscript"/>
        </w:rPr>
        <w:t>2</w:t>
      </w:r>
      <w:r w:rsidRPr="002E0C3D">
        <w:rPr>
          <w:szCs w:val="22"/>
        </w:rPr>
        <w:t xml:space="preserve"> emissions is not required if the owner or operator monitors SO</w:t>
      </w:r>
      <w:r w:rsidRPr="002E0C3D">
        <w:rPr>
          <w:szCs w:val="22"/>
          <w:vertAlign w:val="subscript"/>
        </w:rPr>
        <w:t>2</w:t>
      </w:r>
      <w:r w:rsidRPr="002E0C3D">
        <w:rPr>
          <w:szCs w:val="22"/>
        </w:rPr>
        <w:t xml:space="preserve"> emission by fuel sampling and analysis.  [40 CFR 60.45(a) &amp; (b)(2)]</w:t>
      </w:r>
      <w:bookmarkEnd w:id="46"/>
    </w:p>
    <w:p w14:paraId="63063FE9" w14:textId="766210A0" w:rsidR="00905ECE" w:rsidRPr="00BE214B" w:rsidRDefault="00951ADC" w:rsidP="005B0CC1">
      <w:pPr>
        <w:numPr>
          <w:ilvl w:val="0"/>
          <w:numId w:val="2"/>
        </w:numPr>
        <w:tabs>
          <w:tab w:val="num" w:pos="720"/>
        </w:tabs>
        <w:spacing w:after="120"/>
        <w:ind w:left="360" w:hanging="360"/>
      </w:pPr>
      <w:r w:rsidRPr="00BE214B">
        <w:rPr>
          <w:szCs w:val="22"/>
          <w:u w:val="single"/>
        </w:rPr>
        <w:t>Performance Specifications</w:t>
      </w:r>
      <w:r w:rsidRPr="00BE214B">
        <w:rPr>
          <w:szCs w:val="22"/>
        </w:rPr>
        <w:t xml:space="preserve">.  For the purposes of 40 CFR 60.13, all continuous monitoring systems required under applicable subparts shall be subject to the provisions of 40 CFR 60.13 upon promulgation of performance specifications for continuous monitoring systems under Appendix B of 40 CFR 60 and, if the continuous monitoring system is used to demonstrate compliance with emission limits on a continuous basis, Appendix F of 40 CFR 60, or 40 CFR 75, unless otherwise specified in an applicable subpart or by the </w:t>
      </w:r>
      <w:r w:rsidR="00BE214B" w:rsidRPr="007623EE">
        <w:rPr>
          <w:szCs w:val="22"/>
        </w:rPr>
        <w:t>Department</w:t>
      </w:r>
      <w:r w:rsidRPr="00BE214B">
        <w:rPr>
          <w:szCs w:val="22"/>
        </w:rPr>
        <w:t>.  Appendix F is applicable December 4, 1987.  [40 CFR 60.13(a)]</w:t>
      </w:r>
    </w:p>
    <w:p w14:paraId="01CEB234" w14:textId="4EDBCA40" w:rsidR="00905ECE" w:rsidRPr="00DA6D7F" w:rsidRDefault="00BE214B" w:rsidP="005B0CC1">
      <w:pPr>
        <w:numPr>
          <w:ilvl w:val="0"/>
          <w:numId w:val="2"/>
        </w:numPr>
        <w:tabs>
          <w:tab w:val="num" w:pos="720"/>
        </w:tabs>
        <w:spacing w:after="120"/>
        <w:ind w:left="360" w:hanging="360"/>
      </w:pPr>
      <w:bookmarkStart w:id="47" w:name="_Ref519863105"/>
      <w:r w:rsidRPr="00C16FF6">
        <w:rPr>
          <w:szCs w:val="22"/>
          <w:u w:val="single"/>
        </w:rPr>
        <w:t>Performance Evaluation</w:t>
      </w:r>
      <w:r w:rsidRPr="00C16FF6">
        <w:rPr>
          <w:szCs w:val="22"/>
        </w:rPr>
        <w:t xml:space="preserve">.  If the </w:t>
      </w:r>
      <w:r w:rsidR="003B2BFF" w:rsidRPr="007623EE">
        <w:rPr>
          <w:szCs w:val="22"/>
        </w:rPr>
        <w:t>permittee</w:t>
      </w:r>
      <w:r w:rsidR="003B2BFF">
        <w:rPr>
          <w:szCs w:val="22"/>
        </w:rPr>
        <w:t xml:space="preserve"> </w:t>
      </w:r>
      <w:r w:rsidRPr="00C16FF6">
        <w:rPr>
          <w:szCs w:val="22"/>
        </w:rPr>
        <w:t xml:space="preserve">elects </w:t>
      </w:r>
      <w:r w:rsidRPr="009F1367">
        <w:rPr>
          <w:szCs w:val="22"/>
        </w:rPr>
        <w:t>to use</w:t>
      </w:r>
      <w:r w:rsidRPr="00C16FF6">
        <w:rPr>
          <w:szCs w:val="22"/>
        </w:rPr>
        <w:t xml:space="preserve"> COMS data for compliance with the opacity standard as provided </w:t>
      </w:r>
      <w:r w:rsidRPr="007623EE">
        <w:rPr>
          <w:szCs w:val="22"/>
        </w:rPr>
        <w:t>under</w:t>
      </w:r>
      <w:r w:rsidR="007623EE" w:rsidRPr="007623EE">
        <w:rPr>
          <w:szCs w:val="22"/>
        </w:rPr>
        <w:t xml:space="preserve"> </w:t>
      </w:r>
      <w:r w:rsidR="00DA6D7F" w:rsidRPr="007623EE">
        <w:rPr>
          <w:szCs w:val="22"/>
        </w:rPr>
        <w:t xml:space="preserve">Specific Condition </w:t>
      </w:r>
      <w:r w:rsidR="00DA6D7F" w:rsidRPr="007623EE">
        <w:rPr>
          <w:b/>
          <w:szCs w:val="22"/>
        </w:rPr>
        <w:fldChar w:fldCharType="begin"/>
      </w:r>
      <w:r w:rsidR="00DA6D7F" w:rsidRPr="007623EE">
        <w:rPr>
          <w:b/>
          <w:szCs w:val="22"/>
        </w:rPr>
        <w:instrText xml:space="preserve"> REF _Ref519858527 \r \h  \* MERGEFORMAT </w:instrText>
      </w:r>
      <w:r w:rsidR="00DA6D7F" w:rsidRPr="007623EE">
        <w:rPr>
          <w:b/>
          <w:szCs w:val="22"/>
        </w:rPr>
      </w:r>
      <w:r w:rsidR="00DA6D7F" w:rsidRPr="007623EE">
        <w:rPr>
          <w:b/>
          <w:szCs w:val="22"/>
        </w:rPr>
        <w:fldChar w:fldCharType="separate"/>
      </w:r>
      <w:r w:rsidR="00D31800">
        <w:rPr>
          <w:b/>
          <w:szCs w:val="22"/>
        </w:rPr>
        <w:t>A.22</w:t>
      </w:r>
      <w:r w:rsidR="00DA6D7F" w:rsidRPr="007623EE">
        <w:rPr>
          <w:b/>
          <w:szCs w:val="22"/>
        </w:rPr>
        <w:fldChar w:fldCharType="end"/>
      </w:r>
      <w:r w:rsidRPr="007623EE">
        <w:rPr>
          <w:szCs w:val="22"/>
        </w:rPr>
        <w:t xml:space="preserve">, </w:t>
      </w:r>
      <w:r w:rsidR="00DA6D7F" w:rsidRPr="007623EE">
        <w:rPr>
          <w:szCs w:val="22"/>
        </w:rPr>
        <w:t>t</w:t>
      </w:r>
      <w:r w:rsidRPr="007623EE">
        <w:rPr>
          <w:szCs w:val="22"/>
        </w:rPr>
        <w:t>he</w:t>
      </w:r>
      <w:r w:rsidR="00DA6D7F" w:rsidRPr="007623EE">
        <w:rPr>
          <w:szCs w:val="22"/>
        </w:rPr>
        <w:t xml:space="preserve"> permittee</w:t>
      </w:r>
      <w:r w:rsidRPr="007623EE">
        <w:rPr>
          <w:szCs w:val="22"/>
        </w:rPr>
        <w:t xml:space="preserve"> shall conduct a performance evaluation of the COMS as specified in Performance Specification 1, Appendix B, of 40 CFR 60 before the performance test required under 40 CFR 60.8 is conducted.  Otherwise, </w:t>
      </w:r>
      <w:r w:rsidR="00DA6D7F" w:rsidRPr="007623EE">
        <w:rPr>
          <w:szCs w:val="22"/>
        </w:rPr>
        <w:t>permittee</w:t>
      </w:r>
      <w:r w:rsidRPr="007623EE">
        <w:rPr>
          <w:szCs w:val="22"/>
        </w:rPr>
        <w:t xml:space="preserve"> shall conduct a performance evaluation of the COMS or CEMS during any performance test required under 40 CFR 60.8 or within 30 days thereafter in accordance with the applicable performance specification in Appendix B of 40 CFR 60.  The owner or operator of an affected facility shall conduct COMS or CEMS performance evaluations at such other times as may be required by the </w:t>
      </w:r>
      <w:r w:rsidR="003B2BFF" w:rsidRPr="007623EE">
        <w:rPr>
          <w:szCs w:val="22"/>
        </w:rPr>
        <w:t xml:space="preserve">Department </w:t>
      </w:r>
      <w:r w:rsidRPr="007623EE">
        <w:rPr>
          <w:szCs w:val="22"/>
        </w:rPr>
        <w:t>under section</w:t>
      </w:r>
      <w:r w:rsidRPr="00C16FF6">
        <w:rPr>
          <w:szCs w:val="22"/>
        </w:rPr>
        <w:t xml:space="preserve"> 114 of the Act.  [40 CFR 60.13(c)]</w:t>
      </w:r>
      <w:bookmarkEnd w:id="47"/>
    </w:p>
    <w:p w14:paraId="0A8F4913" w14:textId="208AD6BD" w:rsidR="00DA6D7F" w:rsidRPr="00A93BF1" w:rsidRDefault="00F3774E" w:rsidP="005B0CC1">
      <w:pPr>
        <w:numPr>
          <w:ilvl w:val="0"/>
          <w:numId w:val="2"/>
        </w:numPr>
        <w:tabs>
          <w:tab w:val="num" w:pos="720"/>
        </w:tabs>
        <w:spacing w:after="120"/>
        <w:ind w:left="360" w:hanging="360"/>
      </w:pPr>
      <w:bookmarkStart w:id="48" w:name="_Hlk520099848"/>
      <w:bookmarkStart w:id="49" w:name="_Ref519858527"/>
      <w:r w:rsidRPr="00C16FF6">
        <w:rPr>
          <w:szCs w:val="22"/>
          <w:u w:val="single"/>
        </w:rPr>
        <w:t>COMS Data for Compliance</w:t>
      </w:r>
      <w:r w:rsidRPr="00C16FF6">
        <w:rPr>
          <w:szCs w:val="22"/>
        </w:rPr>
        <w:t xml:space="preserve">.  The owner or operator of an affected facility subject to an opacity standard may submit, for compliance purposes COMS data results produced during any performance test required under 40 CFR 60.8 in lieu of Method 9 </w:t>
      </w:r>
      <w:r w:rsidRPr="007623EE">
        <w:rPr>
          <w:szCs w:val="22"/>
        </w:rPr>
        <w:t xml:space="preserve">observation data.  If the permittee elects to submit COMS data for compliance with the opacity standard, he shall notify the Department of that decision, in writing, at least 30 days before any performance test required under 40 CFR 60.8 is conducted.  Once the owner or operator of an affected facility has notified the </w:t>
      </w:r>
      <w:r w:rsidR="00A93BF1" w:rsidRPr="007623EE">
        <w:rPr>
          <w:szCs w:val="22"/>
        </w:rPr>
        <w:t xml:space="preserve">Department </w:t>
      </w:r>
      <w:r w:rsidRPr="007623EE">
        <w:rPr>
          <w:szCs w:val="22"/>
        </w:rPr>
        <w:t xml:space="preserve">to that effect, the COMS data results will be used to determine opacity compliance during subsequent tests required under 40 CFR 60.8 until the owner or operator notifies the </w:t>
      </w:r>
      <w:r w:rsidR="00A93BF1" w:rsidRPr="007623EE">
        <w:rPr>
          <w:szCs w:val="22"/>
        </w:rPr>
        <w:t>Department</w:t>
      </w:r>
      <w:r w:rsidRPr="007623EE">
        <w:rPr>
          <w:szCs w:val="22"/>
        </w:rPr>
        <w:t>, in writing, to the contrary.  For the purpose of determining compliance with the opacity standard during a performance test required under 40 CFR 60.8 using COMS data, the minimum total time of COMS data collection shall be averages of all 6-minute continuous periods within the duration of the mass emission performance test.  Results of the COMS opacity determinations shall be submitted along with the results of the performance test required under 60.8.  The owner or operator of an affected facility using a COMS for compliance purposes is responsible for demonstrating that the COMS meets the requirements specified in 40 CFR 60.13(c), that the COMS has been properly maintained and operated, and that the resulting data have not been altered in any way.  If COMS data results are submitted for compliance with the opacity standard for a period of time during which Method 9 data indicates noncompliance, the Method 9 data will be used to determine compliance</w:t>
      </w:r>
      <w:r w:rsidR="00A93BF1" w:rsidRPr="007623EE">
        <w:rPr>
          <w:szCs w:val="22"/>
        </w:rPr>
        <w:t xml:space="preserve"> with the opacity standard</w:t>
      </w:r>
      <w:r w:rsidRPr="007623EE">
        <w:rPr>
          <w:szCs w:val="22"/>
        </w:rPr>
        <w:t>.</w:t>
      </w:r>
      <w:r w:rsidRPr="00C16FF6">
        <w:rPr>
          <w:szCs w:val="22"/>
        </w:rPr>
        <w:t xml:space="preserve">  [40 CFR 60.11(e)(5)]</w:t>
      </w:r>
      <w:bookmarkEnd w:id="48"/>
    </w:p>
    <w:p w14:paraId="59F876FB" w14:textId="4C0B8629" w:rsidR="00A93BF1" w:rsidRPr="00A93BF1" w:rsidRDefault="00A93BF1" w:rsidP="00A93BF1">
      <w:pPr>
        <w:numPr>
          <w:ilvl w:val="0"/>
          <w:numId w:val="2"/>
        </w:numPr>
        <w:tabs>
          <w:tab w:val="num" w:pos="720"/>
        </w:tabs>
        <w:ind w:left="360" w:hanging="360"/>
      </w:pPr>
      <w:bookmarkStart w:id="50" w:name="_Ref519863475"/>
      <w:r w:rsidRPr="00C16FF6">
        <w:rPr>
          <w:szCs w:val="22"/>
          <w:u w:val="single"/>
        </w:rPr>
        <w:t>CEMS Procedures</w:t>
      </w:r>
      <w:r w:rsidRPr="00C16FF6">
        <w:rPr>
          <w:szCs w:val="22"/>
        </w:rPr>
        <w:t>.</w:t>
      </w:r>
      <w:bookmarkEnd w:id="50"/>
    </w:p>
    <w:p w14:paraId="7126B220" w14:textId="47280106" w:rsidR="00A93BF1" w:rsidRPr="007623EE" w:rsidRDefault="00A93BF1" w:rsidP="00061DE9">
      <w:pPr>
        <w:pStyle w:val="ListParagraph"/>
        <w:numPr>
          <w:ilvl w:val="0"/>
          <w:numId w:val="52"/>
        </w:numPr>
        <w:spacing w:after="120"/>
      </w:pPr>
      <w:bookmarkStart w:id="51" w:name="_Hlk520099896"/>
      <w:r w:rsidRPr="00C16FF6">
        <w:rPr>
          <w:szCs w:val="22"/>
        </w:rPr>
        <w:t>Owners and operators of all CEMS installed in accordance w</w:t>
      </w:r>
      <w:r w:rsidRPr="007623EE">
        <w:rPr>
          <w:szCs w:val="22"/>
        </w:rPr>
        <w:t xml:space="preserve">ith the provisions of </w:t>
      </w:r>
      <w:r w:rsidR="00A778D0" w:rsidRPr="007623EE">
        <w:rPr>
          <w:szCs w:val="22"/>
        </w:rPr>
        <w:t>P</w:t>
      </w:r>
      <w:r w:rsidRPr="007623EE">
        <w:rPr>
          <w:szCs w:val="22"/>
        </w:rPr>
        <w:t xml:space="preserve">art </w:t>
      </w:r>
      <w:r w:rsidR="00A778D0" w:rsidRPr="007623EE">
        <w:rPr>
          <w:szCs w:val="22"/>
        </w:rPr>
        <w:t xml:space="preserve">60 </w:t>
      </w:r>
      <w:r w:rsidRPr="007623EE">
        <w:rPr>
          <w:szCs w:val="22"/>
        </w:rPr>
        <w:t>shall check the zero (or low-level value between 0 and 20% of span value) and span (50 to 100% of span value) calibration drifts at least once daily in accordance with a written procedure.  The zero and span shall, as a minimum, be adjusted whenever the 24-hour zero drift or 24-hour span drift exceeds two times the limits of the applicable performance specifications in Appendix B.  The system must allow the amount of excess zero and span drift measured at the 24-hour interval checks to be recorded and quantified, whenever specified.  For continuous monitoring systems measuring opacity of emissions, the optical surfaces exposed to the effluent gases shall be cleaned prior to performing the zero and span drift adjustments except that for systems using automatic zero adjustments.  The optical surfaces shall be cleaned when the cumulative automatic zero compensation exceeds 4% opacity.</w:t>
      </w:r>
      <w:bookmarkEnd w:id="51"/>
    </w:p>
    <w:p w14:paraId="5D39A6F7" w14:textId="64BC2482" w:rsidR="00A93BF1" w:rsidRPr="007623EE" w:rsidRDefault="00A93BF1" w:rsidP="00061DE9">
      <w:pPr>
        <w:pStyle w:val="ListParagraph"/>
        <w:numPr>
          <w:ilvl w:val="0"/>
          <w:numId w:val="52"/>
        </w:numPr>
        <w:spacing w:after="120"/>
      </w:pPr>
      <w:bookmarkStart w:id="52" w:name="_Hlk520099911"/>
      <w:r w:rsidRPr="007623EE">
        <w:rPr>
          <w:szCs w:val="22"/>
        </w:rPr>
        <w:t xml:space="preserve">Unless otherwise approved by the </w:t>
      </w:r>
      <w:r w:rsidR="00CF34EB" w:rsidRPr="007623EE">
        <w:rPr>
          <w:szCs w:val="22"/>
        </w:rPr>
        <w:t>Department</w:t>
      </w:r>
      <w:r w:rsidRPr="007623EE">
        <w:rPr>
          <w:szCs w:val="22"/>
        </w:rPr>
        <w:t>, the following procedures shall be followed for continuous monitoring systems measuring opacity of emissions.  Minimum procedures shall include a method for producing a simulated zero opacity condition and an upscale (span) opacity condition using a certified neutral density filter or other related technique to produce a known obscuration of the light beam.  Such procedures shall provide a system check of the analyzer internal optical surfaces and all electronic circuitry including the lamp and photo detector assembly.</w:t>
      </w:r>
      <w:bookmarkEnd w:id="52"/>
    </w:p>
    <w:p w14:paraId="4F24B363" w14:textId="3508D7CD" w:rsidR="00A93BF1" w:rsidRPr="007623EE" w:rsidRDefault="00A93BF1" w:rsidP="00A93BF1">
      <w:pPr>
        <w:pStyle w:val="ListParagraph"/>
        <w:spacing w:after="120"/>
        <w:ind w:left="360"/>
      </w:pPr>
      <w:bookmarkStart w:id="53" w:name="_Hlk520099926"/>
      <w:r w:rsidRPr="007623EE">
        <w:rPr>
          <w:szCs w:val="22"/>
        </w:rPr>
        <w:t>[40 CFR 60.13(d)]</w:t>
      </w:r>
      <w:bookmarkEnd w:id="53"/>
    </w:p>
    <w:p w14:paraId="60021DD6" w14:textId="4B482821" w:rsidR="00A93BF1" w:rsidRPr="00CF34EB" w:rsidRDefault="00CF34EB" w:rsidP="00CF34EB">
      <w:pPr>
        <w:numPr>
          <w:ilvl w:val="0"/>
          <w:numId w:val="2"/>
        </w:numPr>
        <w:tabs>
          <w:tab w:val="num" w:pos="720"/>
        </w:tabs>
        <w:ind w:left="360" w:hanging="360"/>
      </w:pPr>
      <w:r w:rsidRPr="00C16FF6">
        <w:rPr>
          <w:szCs w:val="22"/>
          <w:u w:val="single"/>
        </w:rPr>
        <w:t>Frequency of Operation</w:t>
      </w:r>
      <w:r w:rsidRPr="00C16FF6">
        <w:rPr>
          <w:szCs w:val="22"/>
        </w:rPr>
        <w:t>.  Except for system breakdowns, repairs, calibration checks, and zero and span adjustments required under 40 CFR 60.13(d), all continuous monitoring systems (CMS) shall be in continuous operation and shall meet minimum frequency of operation requirements as follows:</w:t>
      </w:r>
    </w:p>
    <w:p w14:paraId="2A386A4F" w14:textId="66368F34" w:rsidR="00CF34EB" w:rsidRPr="00CF34EB" w:rsidRDefault="00CF34EB" w:rsidP="00061DE9">
      <w:pPr>
        <w:pStyle w:val="ListParagraph"/>
        <w:numPr>
          <w:ilvl w:val="0"/>
          <w:numId w:val="53"/>
        </w:numPr>
      </w:pPr>
      <w:r w:rsidRPr="00C16FF6">
        <w:rPr>
          <w:szCs w:val="22"/>
        </w:rPr>
        <w:t>All continuous monitoring systems referenced by 40 CFR 60.13(c) for measuring opacity of emissions shall complete a minimum of one cycle of sampling and analyzing for each successive 10-second period and one cycle of data recording for each successive 6-minute period.</w:t>
      </w:r>
    </w:p>
    <w:p w14:paraId="5620BC72" w14:textId="3DEA59D3" w:rsidR="00CF34EB" w:rsidRPr="00CF34EB" w:rsidRDefault="00CF34EB" w:rsidP="00061DE9">
      <w:pPr>
        <w:pStyle w:val="ListParagraph"/>
        <w:numPr>
          <w:ilvl w:val="0"/>
          <w:numId w:val="53"/>
        </w:numPr>
      </w:pPr>
      <w:r w:rsidRPr="00C16FF6">
        <w:rPr>
          <w:szCs w:val="22"/>
        </w:rPr>
        <w:t>All continuous monitoring systems referenced by 40 CFR 60.13(c) for measuring emissions, except opacity, shall complete a minimum of one cycle of operation (sampling, analyzing, and data recording) for each successive 15-minute period.</w:t>
      </w:r>
    </w:p>
    <w:p w14:paraId="6284C4B9" w14:textId="406F0794" w:rsidR="00CF34EB" w:rsidRDefault="00CF34EB" w:rsidP="00CF34EB">
      <w:pPr>
        <w:pStyle w:val="ListParagraph"/>
        <w:spacing w:after="120"/>
        <w:ind w:left="360"/>
        <w:contextualSpacing w:val="0"/>
        <w:rPr>
          <w:szCs w:val="22"/>
        </w:rPr>
      </w:pPr>
      <w:r w:rsidRPr="00C16FF6">
        <w:rPr>
          <w:szCs w:val="22"/>
        </w:rPr>
        <w:t>[40 CFR 60.13(e)(1) and (2)]</w:t>
      </w:r>
    </w:p>
    <w:p w14:paraId="7E827FCC" w14:textId="4D81CD6F" w:rsidR="00CF34EB" w:rsidRPr="00D65931" w:rsidRDefault="00D65931" w:rsidP="00D65931">
      <w:pPr>
        <w:numPr>
          <w:ilvl w:val="0"/>
          <w:numId w:val="2"/>
        </w:numPr>
        <w:tabs>
          <w:tab w:val="num" w:pos="720"/>
        </w:tabs>
        <w:spacing w:after="120"/>
        <w:ind w:left="360" w:hanging="360"/>
      </w:pPr>
      <w:r w:rsidRPr="00C16FF6">
        <w:rPr>
          <w:szCs w:val="22"/>
          <w:u w:val="single"/>
        </w:rPr>
        <w:t>Representative Measurements</w:t>
      </w:r>
      <w:r w:rsidRPr="00C16FF6">
        <w:rPr>
          <w:szCs w:val="22"/>
        </w:rPr>
        <w:t>.  All CMS or monitoring devices shall be installed such that representative measurements of emissions or process parameters from the affected facility are obtained.  Additional procedures for location of CMS contained in the applicable Performance Specifications of Appendix B of 40 CFR 60 shall be used.  [40 CFR 60.13(f)]</w:t>
      </w:r>
    </w:p>
    <w:p w14:paraId="07B2EA14" w14:textId="2F4BA752" w:rsidR="00D65931" w:rsidRPr="00D65931" w:rsidRDefault="00D65931" w:rsidP="00D65931">
      <w:pPr>
        <w:numPr>
          <w:ilvl w:val="0"/>
          <w:numId w:val="2"/>
        </w:numPr>
        <w:tabs>
          <w:tab w:val="num" w:pos="720"/>
        </w:tabs>
        <w:spacing w:after="120"/>
        <w:ind w:left="360" w:hanging="360"/>
      </w:pPr>
      <w:r w:rsidRPr="00C16FF6">
        <w:rPr>
          <w:szCs w:val="22"/>
          <w:u w:val="single"/>
        </w:rPr>
        <w:t>Multiple Systems</w:t>
      </w:r>
      <w:r w:rsidRPr="00C16FF6">
        <w:rPr>
          <w:szCs w:val="22"/>
        </w:rPr>
        <w:t xml:space="preserve">.  When the effluents from a single affected facility or two or more affected facilities subject to the same emission standards are combined before being released to the atmosphere, the owner or operator may install applicable CMS on each effluent or on the combined effluent. When the affected facilities are not subject to the same emission standards, separate continuous monitoring systems shall be installed on each effluent.  When the effluent from one affected facility is released to the atmosphere through more than one point, the owner or operator shall install an applicable CMS on each separate effluent unless the installation of fewer systems is approved by the </w:t>
      </w:r>
      <w:r w:rsidRPr="007623EE">
        <w:rPr>
          <w:szCs w:val="22"/>
        </w:rPr>
        <w:t>Department</w:t>
      </w:r>
      <w:r w:rsidRPr="00C16FF6">
        <w:rPr>
          <w:szCs w:val="22"/>
        </w:rPr>
        <w:t>.  When more than one continuous monitoring system is used to measure the emissions from one affected facility (e.g., multiple breechings, multiple outlets), the owner or operator shall report the results as required from each CMS.  [40 CFR 60.13(g)]</w:t>
      </w:r>
    </w:p>
    <w:p w14:paraId="72AE36F8" w14:textId="4637F282" w:rsidR="00D65931" w:rsidRPr="002535A9" w:rsidRDefault="00D65931" w:rsidP="002535A9">
      <w:pPr>
        <w:numPr>
          <w:ilvl w:val="0"/>
          <w:numId w:val="2"/>
        </w:numPr>
        <w:tabs>
          <w:tab w:val="num" w:pos="720"/>
        </w:tabs>
        <w:spacing w:after="120"/>
        <w:ind w:left="360" w:hanging="360"/>
      </w:pPr>
      <w:r w:rsidRPr="00C16FF6">
        <w:rPr>
          <w:szCs w:val="22"/>
          <w:u w:val="single"/>
        </w:rPr>
        <w:t>Data Reduction</w:t>
      </w:r>
      <w:r w:rsidRPr="00C16FF6">
        <w:rPr>
          <w:szCs w:val="22"/>
        </w:rPr>
        <w:t xml:space="preserve">.  Owners or operators of all CMS for measurement of opacity shall reduce all data to 6-minute averages and for CMS other than opacity to 1-hour averages for time periods as defined in 40 CFR 60.2.  Six-minute opacity averages shall be calculated from 36 or more data points equally spaced over each 6-minute period.  For CMS other than opacity, 1-hour averages shall be computed from four or more data points equally spaced over each 1-hour period.  Data recorded during periods of CMS breakdowns, repairs, calibration checks, and zero and span adjustments shall not be included in the data averages computed under this paragraph.  An arithmetic or integrated average of all data may be used.  The data may be recorded in reduced or </w:t>
      </w:r>
      <w:proofErr w:type="spellStart"/>
      <w:r w:rsidRPr="00C16FF6">
        <w:rPr>
          <w:szCs w:val="22"/>
        </w:rPr>
        <w:t>non reduced</w:t>
      </w:r>
      <w:proofErr w:type="spellEnd"/>
      <w:r w:rsidRPr="00C16FF6">
        <w:rPr>
          <w:szCs w:val="22"/>
        </w:rPr>
        <w:t xml:space="preserve"> form (e.g., ppm pollutant and percent </w:t>
      </w:r>
      <w:r w:rsidR="002535A9">
        <w:rPr>
          <w:szCs w:val="22"/>
        </w:rPr>
        <w:t>O</w:t>
      </w:r>
      <w:r w:rsidR="002535A9">
        <w:rPr>
          <w:szCs w:val="22"/>
          <w:vertAlign w:val="subscript"/>
        </w:rPr>
        <w:t>2</w:t>
      </w:r>
      <w:r w:rsidR="002535A9">
        <w:rPr>
          <w:szCs w:val="22"/>
        </w:rPr>
        <w:t xml:space="preserve"> </w:t>
      </w:r>
      <w:r w:rsidRPr="00C16FF6">
        <w:rPr>
          <w:szCs w:val="22"/>
        </w:rPr>
        <w:t>or ng/J of pollutant).  All excess emissions shall be converted into units of the standard using the applicable conversion procedures specified in subparts.  After conversion into units of the standard, the data may be rounded to the same number of significant digits as used in the applicable subparts to specify the emission limit (e.g., rounded to the nearest 1 percent opacity).  [40 CFR 60.13(h)]</w:t>
      </w:r>
    </w:p>
    <w:p w14:paraId="6B5F3F96" w14:textId="51351B37" w:rsidR="002535A9" w:rsidRPr="007623EE" w:rsidRDefault="002535A9" w:rsidP="00CF34EB">
      <w:pPr>
        <w:numPr>
          <w:ilvl w:val="0"/>
          <w:numId w:val="2"/>
        </w:numPr>
        <w:tabs>
          <w:tab w:val="num" w:pos="720"/>
        </w:tabs>
        <w:ind w:left="360" w:hanging="360"/>
      </w:pPr>
      <w:bookmarkStart w:id="54" w:name="_Hlk520100129"/>
      <w:r w:rsidRPr="00C16FF6">
        <w:rPr>
          <w:szCs w:val="22"/>
          <w:u w:val="single"/>
        </w:rPr>
        <w:t>Performance Evaluations and Calibration Checks</w:t>
      </w:r>
      <w:r w:rsidRPr="00C16FF6">
        <w:rPr>
          <w:szCs w:val="22"/>
        </w:rPr>
        <w:t xml:space="preserve">.  For </w:t>
      </w:r>
      <w:r w:rsidRPr="007623EE">
        <w:rPr>
          <w:szCs w:val="22"/>
        </w:rPr>
        <w:t xml:space="preserve">performance evaluations under Specific Condition </w:t>
      </w:r>
      <w:r w:rsidRPr="007623EE">
        <w:rPr>
          <w:b/>
          <w:szCs w:val="22"/>
        </w:rPr>
        <w:fldChar w:fldCharType="begin"/>
      </w:r>
      <w:r w:rsidRPr="007623EE">
        <w:rPr>
          <w:b/>
          <w:szCs w:val="22"/>
        </w:rPr>
        <w:instrText xml:space="preserve"> REF _Ref519863105 \r \h  \* MERGEFORMAT </w:instrText>
      </w:r>
      <w:r w:rsidRPr="007623EE">
        <w:rPr>
          <w:b/>
          <w:szCs w:val="22"/>
        </w:rPr>
      </w:r>
      <w:r w:rsidRPr="007623EE">
        <w:rPr>
          <w:b/>
          <w:szCs w:val="22"/>
        </w:rPr>
        <w:fldChar w:fldCharType="separate"/>
      </w:r>
      <w:r w:rsidR="00D31800">
        <w:rPr>
          <w:b/>
          <w:szCs w:val="22"/>
        </w:rPr>
        <w:t>A.21</w:t>
      </w:r>
      <w:r w:rsidRPr="007623EE">
        <w:rPr>
          <w:b/>
          <w:szCs w:val="22"/>
        </w:rPr>
        <w:fldChar w:fldCharType="end"/>
      </w:r>
      <w:r w:rsidRPr="007623EE">
        <w:rPr>
          <w:szCs w:val="22"/>
        </w:rPr>
        <w:t xml:space="preserve"> and calibration checks under </w:t>
      </w:r>
      <w:r w:rsidR="0030497B" w:rsidRPr="007623EE">
        <w:rPr>
          <w:szCs w:val="22"/>
        </w:rPr>
        <w:t xml:space="preserve">Specific Condition </w:t>
      </w:r>
      <w:r w:rsidR="0030497B" w:rsidRPr="007623EE">
        <w:rPr>
          <w:b/>
          <w:szCs w:val="22"/>
        </w:rPr>
        <w:fldChar w:fldCharType="begin"/>
      </w:r>
      <w:r w:rsidR="0030497B" w:rsidRPr="007623EE">
        <w:rPr>
          <w:b/>
          <w:szCs w:val="22"/>
        </w:rPr>
        <w:instrText xml:space="preserve"> REF _Ref519863475 \r \h  \* MERGEFORMAT </w:instrText>
      </w:r>
      <w:r w:rsidR="0030497B" w:rsidRPr="007623EE">
        <w:rPr>
          <w:b/>
          <w:szCs w:val="22"/>
        </w:rPr>
      </w:r>
      <w:r w:rsidR="0030497B" w:rsidRPr="007623EE">
        <w:rPr>
          <w:b/>
          <w:szCs w:val="22"/>
        </w:rPr>
        <w:fldChar w:fldCharType="separate"/>
      </w:r>
      <w:r w:rsidR="00D31800">
        <w:rPr>
          <w:b/>
          <w:szCs w:val="22"/>
        </w:rPr>
        <w:t>A.23</w:t>
      </w:r>
      <w:r w:rsidR="0030497B" w:rsidRPr="007623EE">
        <w:rPr>
          <w:b/>
          <w:szCs w:val="22"/>
        </w:rPr>
        <w:fldChar w:fldCharType="end"/>
      </w:r>
      <w:r w:rsidRPr="007623EE">
        <w:rPr>
          <w:szCs w:val="22"/>
        </w:rPr>
        <w:t>, the following procedures shall be used:</w:t>
      </w:r>
      <w:bookmarkEnd w:id="54"/>
    </w:p>
    <w:p w14:paraId="7F003229" w14:textId="77777777" w:rsidR="0030497B" w:rsidRPr="00C16FF6" w:rsidRDefault="0030497B" w:rsidP="00061DE9">
      <w:pPr>
        <w:numPr>
          <w:ilvl w:val="0"/>
          <w:numId w:val="54"/>
        </w:numPr>
        <w:tabs>
          <w:tab w:val="clear" w:pos="720"/>
        </w:tabs>
        <w:ind w:left="720" w:hanging="360"/>
        <w:rPr>
          <w:szCs w:val="22"/>
        </w:rPr>
      </w:pPr>
      <w:bookmarkStart w:id="55" w:name="_Hlk520102022"/>
      <w:r w:rsidRPr="007623EE">
        <w:rPr>
          <w:szCs w:val="22"/>
        </w:rPr>
        <w:t>Methods 6, 7, and 3B, as applicable, shall be used for the performance</w:t>
      </w:r>
      <w:r w:rsidRPr="00C16FF6">
        <w:rPr>
          <w:szCs w:val="22"/>
        </w:rPr>
        <w:t xml:space="preserve"> evaluations of sulfur dioxide and nitrogen oxides continuous monitoring systems.  Acceptable alternative methods for Methods 6, 7, and 3B are given in 40 CFR 60.46(d).</w:t>
      </w:r>
      <w:bookmarkEnd w:id="55"/>
    </w:p>
    <w:p w14:paraId="459157A3" w14:textId="77777777" w:rsidR="0030497B" w:rsidRPr="00C16FF6" w:rsidRDefault="0030497B" w:rsidP="00061DE9">
      <w:pPr>
        <w:numPr>
          <w:ilvl w:val="0"/>
          <w:numId w:val="54"/>
        </w:numPr>
        <w:tabs>
          <w:tab w:val="clear" w:pos="720"/>
        </w:tabs>
        <w:ind w:left="720" w:hanging="360"/>
        <w:rPr>
          <w:szCs w:val="22"/>
        </w:rPr>
      </w:pPr>
      <w:r w:rsidRPr="00C16FF6">
        <w:rPr>
          <w:szCs w:val="22"/>
        </w:rPr>
        <w:t>SO</w:t>
      </w:r>
      <w:r w:rsidRPr="00C16FF6">
        <w:rPr>
          <w:szCs w:val="22"/>
          <w:vertAlign w:val="subscript"/>
        </w:rPr>
        <w:t>2</w:t>
      </w:r>
      <w:r w:rsidRPr="00C16FF6">
        <w:rPr>
          <w:szCs w:val="22"/>
        </w:rPr>
        <w:t xml:space="preserve"> or NO</w:t>
      </w:r>
      <w:r w:rsidRPr="00C16FF6">
        <w:rPr>
          <w:szCs w:val="22"/>
          <w:vertAlign w:val="subscript"/>
        </w:rPr>
        <w:t>X</w:t>
      </w:r>
      <w:r w:rsidRPr="00C16FF6">
        <w:rPr>
          <w:szCs w:val="22"/>
        </w:rPr>
        <w:t>, as applicable, shall be used for preparing calibration gas mixtures under Performance Specification 2 of Appendix B to 40 CFR 60.</w:t>
      </w:r>
    </w:p>
    <w:p w14:paraId="73AFCEDA" w14:textId="3860F6A1" w:rsidR="002535A9" w:rsidRPr="0030497B" w:rsidRDefault="0030497B" w:rsidP="00061DE9">
      <w:pPr>
        <w:numPr>
          <w:ilvl w:val="0"/>
          <w:numId w:val="54"/>
        </w:numPr>
        <w:tabs>
          <w:tab w:val="clear" w:pos="720"/>
        </w:tabs>
        <w:ind w:left="720" w:hanging="360"/>
      </w:pPr>
      <w:bookmarkStart w:id="56" w:name="_Hlk520102201"/>
      <w:r w:rsidRPr="00C16FF6">
        <w:rPr>
          <w:szCs w:val="22"/>
        </w:rPr>
        <w:t xml:space="preserve">For affected facilities burning fossil fuel(s), the span value for a continuous monitoring system measuring the opacity of emissions shall be 80, 90, or 100% and for a continuous monitoring system measuring sulfur oxides </w:t>
      </w:r>
      <w:proofErr w:type="spellStart"/>
      <w:r w:rsidRPr="00C16FF6">
        <w:rPr>
          <w:szCs w:val="22"/>
        </w:rPr>
        <w:t>or</w:t>
      </w:r>
      <w:proofErr w:type="spellEnd"/>
      <w:r w:rsidRPr="00C16FF6">
        <w:rPr>
          <w:szCs w:val="22"/>
        </w:rPr>
        <w:t xml:space="preserve"> nitrogen oxides the span value shall be determined using one of the following procedures:</w:t>
      </w:r>
      <w:bookmarkEnd w:id="56"/>
    </w:p>
    <w:p w14:paraId="7AE23D6D" w14:textId="7D0FA00C" w:rsidR="0030497B" w:rsidRDefault="0030497B" w:rsidP="00061DE9">
      <w:pPr>
        <w:pStyle w:val="ListParagraph"/>
        <w:numPr>
          <w:ilvl w:val="0"/>
          <w:numId w:val="55"/>
        </w:numPr>
        <w:spacing w:after="60"/>
        <w:ind w:left="1080"/>
        <w:contextualSpacing w:val="0"/>
      </w:pPr>
      <w:bookmarkStart w:id="57" w:name="_Ref519865220"/>
      <w:bookmarkStart w:id="58" w:name="_Hlk520102228"/>
      <w:r w:rsidRPr="00C16FF6">
        <w:t>Except as provided under paragraph c.(2), SO</w:t>
      </w:r>
      <w:r w:rsidRPr="00C16FF6">
        <w:rPr>
          <w:vertAlign w:val="subscript"/>
        </w:rPr>
        <w:t>2</w:t>
      </w:r>
      <w:r w:rsidRPr="00C16FF6">
        <w:t xml:space="preserve"> and NO</w:t>
      </w:r>
      <w:r w:rsidRPr="00C16FF6">
        <w:rPr>
          <w:vertAlign w:val="subscript"/>
        </w:rPr>
        <w:t>X</w:t>
      </w:r>
      <w:r w:rsidRPr="00C16FF6">
        <w:t xml:space="preserve"> span value shall be determined as follows:</w:t>
      </w:r>
      <w:bookmarkEnd w:id="57"/>
    </w:p>
    <w:tbl>
      <w:tblPr>
        <w:tblStyle w:val="TableGrid"/>
        <w:tblW w:w="0" w:type="auto"/>
        <w:tblInd w:w="1080" w:type="dxa"/>
        <w:tblBorders>
          <w:top w:val="single" w:sz="12" w:space="0" w:color="auto"/>
          <w:left w:val="single" w:sz="12" w:space="0" w:color="auto"/>
          <w:bottom w:val="single" w:sz="12" w:space="0" w:color="auto"/>
          <w:right w:val="single" w:sz="12" w:space="0" w:color="auto"/>
          <w:insideH w:val="single" w:sz="6" w:space="0" w:color="auto"/>
          <w:insideV w:val="single" w:sz="12" w:space="0" w:color="auto"/>
        </w:tblBorders>
        <w:tblLook w:val="04A0" w:firstRow="1" w:lastRow="0" w:firstColumn="1" w:lastColumn="0" w:noHBand="0" w:noVBand="1"/>
      </w:tblPr>
      <w:tblGrid>
        <w:gridCol w:w="3044"/>
        <w:gridCol w:w="2990"/>
        <w:gridCol w:w="2936"/>
      </w:tblGrid>
      <w:tr w:rsidR="00C7669A" w14:paraId="3782473B" w14:textId="77777777" w:rsidTr="0030497B">
        <w:tc>
          <w:tcPr>
            <w:tcW w:w="3356" w:type="dxa"/>
            <w:tcBorders>
              <w:top w:val="single" w:sz="12" w:space="0" w:color="auto"/>
              <w:bottom w:val="single" w:sz="12" w:space="0" w:color="auto"/>
            </w:tcBorders>
          </w:tcPr>
          <w:p w14:paraId="586EB105" w14:textId="4AA3679D" w:rsidR="0030497B" w:rsidRPr="007623EE" w:rsidRDefault="0030497B" w:rsidP="0030497B">
            <w:pPr>
              <w:pStyle w:val="ListParagraph"/>
              <w:ind w:left="0"/>
              <w:jc w:val="center"/>
              <w:rPr>
                <w:b/>
              </w:rPr>
            </w:pPr>
            <w:r w:rsidRPr="007623EE">
              <w:rPr>
                <w:b/>
              </w:rPr>
              <w:t>Fossil Fuel</w:t>
            </w:r>
          </w:p>
        </w:tc>
        <w:tc>
          <w:tcPr>
            <w:tcW w:w="3357" w:type="dxa"/>
            <w:tcBorders>
              <w:top w:val="single" w:sz="12" w:space="0" w:color="auto"/>
              <w:bottom w:val="single" w:sz="12" w:space="0" w:color="auto"/>
            </w:tcBorders>
          </w:tcPr>
          <w:p w14:paraId="2989E23D" w14:textId="38BB562F" w:rsidR="0030497B" w:rsidRPr="007623EE" w:rsidRDefault="0030497B" w:rsidP="0030497B">
            <w:pPr>
              <w:pStyle w:val="ListParagraph"/>
              <w:ind w:left="0"/>
              <w:jc w:val="center"/>
              <w:rPr>
                <w:b/>
              </w:rPr>
            </w:pPr>
            <w:r w:rsidRPr="007623EE">
              <w:rPr>
                <w:b/>
              </w:rPr>
              <w:t>Span value for SO</w:t>
            </w:r>
            <w:r w:rsidRPr="007623EE">
              <w:rPr>
                <w:b/>
                <w:vertAlign w:val="subscript"/>
              </w:rPr>
              <w:t>2</w:t>
            </w:r>
            <w:r w:rsidRPr="007623EE">
              <w:rPr>
                <w:b/>
              </w:rPr>
              <w:t xml:space="preserve"> (ppm)</w:t>
            </w:r>
          </w:p>
        </w:tc>
        <w:tc>
          <w:tcPr>
            <w:tcW w:w="3357" w:type="dxa"/>
            <w:tcBorders>
              <w:top w:val="single" w:sz="12" w:space="0" w:color="auto"/>
              <w:bottom w:val="single" w:sz="12" w:space="0" w:color="auto"/>
            </w:tcBorders>
          </w:tcPr>
          <w:p w14:paraId="29B8F456" w14:textId="686839D4" w:rsidR="0030497B" w:rsidRPr="007623EE" w:rsidRDefault="0030497B" w:rsidP="0030497B">
            <w:pPr>
              <w:pStyle w:val="ListParagraph"/>
              <w:ind w:left="0"/>
              <w:jc w:val="center"/>
              <w:rPr>
                <w:b/>
              </w:rPr>
            </w:pPr>
            <w:r w:rsidRPr="007623EE">
              <w:rPr>
                <w:b/>
              </w:rPr>
              <w:t>Span value for NO</w:t>
            </w:r>
            <w:r w:rsidRPr="007623EE">
              <w:rPr>
                <w:b/>
                <w:vertAlign w:val="subscript"/>
              </w:rPr>
              <w:t>X</w:t>
            </w:r>
            <w:r w:rsidRPr="007623EE">
              <w:rPr>
                <w:b/>
              </w:rPr>
              <w:t xml:space="preserve"> (ppm)</w:t>
            </w:r>
          </w:p>
        </w:tc>
      </w:tr>
      <w:tr w:rsidR="00C7669A" w14:paraId="1D32C58B" w14:textId="77777777" w:rsidTr="0030497B">
        <w:tc>
          <w:tcPr>
            <w:tcW w:w="3356" w:type="dxa"/>
            <w:tcBorders>
              <w:top w:val="single" w:sz="12" w:space="0" w:color="auto"/>
              <w:bottom w:val="single" w:sz="4" w:space="0" w:color="auto"/>
            </w:tcBorders>
          </w:tcPr>
          <w:p w14:paraId="1BF380EC" w14:textId="66476BB1" w:rsidR="0030497B" w:rsidRDefault="00C7669A" w:rsidP="00C7669A">
            <w:pPr>
              <w:pStyle w:val="ListParagraph"/>
              <w:ind w:left="0"/>
              <w:jc w:val="center"/>
            </w:pPr>
            <w:r>
              <w:t>Gas</w:t>
            </w:r>
          </w:p>
        </w:tc>
        <w:tc>
          <w:tcPr>
            <w:tcW w:w="3357" w:type="dxa"/>
            <w:tcBorders>
              <w:top w:val="single" w:sz="12" w:space="0" w:color="auto"/>
              <w:bottom w:val="single" w:sz="4" w:space="0" w:color="auto"/>
            </w:tcBorders>
          </w:tcPr>
          <w:p w14:paraId="67A59315" w14:textId="3C46E397" w:rsidR="0030497B" w:rsidRDefault="00317D35" w:rsidP="00C7669A">
            <w:pPr>
              <w:pStyle w:val="ListParagraph"/>
              <w:ind w:left="0"/>
              <w:jc w:val="center"/>
            </w:pPr>
            <w:r w:rsidRPr="00C16FF6">
              <w:rPr>
                <w:szCs w:val="22"/>
              </w:rPr>
              <w:t>Not applicable</w:t>
            </w:r>
          </w:p>
        </w:tc>
        <w:tc>
          <w:tcPr>
            <w:tcW w:w="3357" w:type="dxa"/>
            <w:tcBorders>
              <w:top w:val="single" w:sz="12" w:space="0" w:color="auto"/>
              <w:bottom w:val="single" w:sz="4" w:space="0" w:color="auto"/>
            </w:tcBorders>
          </w:tcPr>
          <w:p w14:paraId="5608730E" w14:textId="2E0ABAEF" w:rsidR="0030497B" w:rsidRDefault="00C7669A" w:rsidP="00C7669A">
            <w:pPr>
              <w:pStyle w:val="ListParagraph"/>
              <w:ind w:left="0"/>
              <w:jc w:val="center"/>
            </w:pPr>
            <w:r>
              <w:t>500</w:t>
            </w:r>
          </w:p>
        </w:tc>
      </w:tr>
      <w:tr w:rsidR="00C7669A" w14:paraId="4F0EDA61" w14:textId="77777777" w:rsidTr="0030497B">
        <w:tc>
          <w:tcPr>
            <w:tcW w:w="3356" w:type="dxa"/>
            <w:tcBorders>
              <w:top w:val="single" w:sz="4" w:space="0" w:color="auto"/>
              <w:bottom w:val="single" w:sz="4" w:space="0" w:color="auto"/>
            </w:tcBorders>
          </w:tcPr>
          <w:p w14:paraId="3FD116B9" w14:textId="2F2DABDB" w:rsidR="0030497B" w:rsidRDefault="00C7669A" w:rsidP="00C7669A">
            <w:pPr>
              <w:pStyle w:val="ListParagraph"/>
              <w:ind w:left="0"/>
              <w:jc w:val="center"/>
            </w:pPr>
            <w:r>
              <w:t>Liquid</w:t>
            </w:r>
          </w:p>
        </w:tc>
        <w:tc>
          <w:tcPr>
            <w:tcW w:w="3357" w:type="dxa"/>
            <w:tcBorders>
              <w:top w:val="single" w:sz="4" w:space="0" w:color="auto"/>
              <w:bottom w:val="single" w:sz="4" w:space="0" w:color="auto"/>
            </w:tcBorders>
          </w:tcPr>
          <w:p w14:paraId="53619E02" w14:textId="60329E3D" w:rsidR="0030497B" w:rsidRDefault="00C7669A" w:rsidP="00C7669A">
            <w:pPr>
              <w:pStyle w:val="ListParagraph"/>
              <w:ind w:left="0"/>
              <w:jc w:val="center"/>
            </w:pPr>
            <w:r>
              <w:t>1,000</w:t>
            </w:r>
          </w:p>
        </w:tc>
        <w:tc>
          <w:tcPr>
            <w:tcW w:w="3357" w:type="dxa"/>
            <w:tcBorders>
              <w:top w:val="single" w:sz="4" w:space="0" w:color="auto"/>
              <w:bottom w:val="single" w:sz="4" w:space="0" w:color="auto"/>
            </w:tcBorders>
          </w:tcPr>
          <w:p w14:paraId="62F794A8" w14:textId="6F0C2BB1" w:rsidR="0030497B" w:rsidRDefault="00C7669A" w:rsidP="00C7669A">
            <w:pPr>
              <w:pStyle w:val="ListParagraph"/>
              <w:ind w:left="0"/>
              <w:jc w:val="center"/>
            </w:pPr>
            <w:r>
              <w:t>500</w:t>
            </w:r>
          </w:p>
        </w:tc>
      </w:tr>
      <w:tr w:rsidR="00C7669A" w14:paraId="2E75CD24" w14:textId="77777777" w:rsidTr="0030497B">
        <w:tc>
          <w:tcPr>
            <w:tcW w:w="3356" w:type="dxa"/>
            <w:tcBorders>
              <w:top w:val="single" w:sz="4" w:space="0" w:color="auto"/>
            </w:tcBorders>
          </w:tcPr>
          <w:p w14:paraId="07DCA3EB" w14:textId="6117EC7C" w:rsidR="0030497B" w:rsidRDefault="00C7669A" w:rsidP="00C7669A">
            <w:pPr>
              <w:pStyle w:val="ListParagraph"/>
              <w:ind w:left="0"/>
              <w:jc w:val="center"/>
            </w:pPr>
            <w:r>
              <w:t>Combinations</w:t>
            </w:r>
          </w:p>
        </w:tc>
        <w:tc>
          <w:tcPr>
            <w:tcW w:w="3357" w:type="dxa"/>
            <w:tcBorders>
              <w:top w:val="single" w:sz="4" w:space="0" w:color="auto"/>
            </w:tcBorders>
          </w:tcPr>
          <w:p w14:paraId="36891855" w14:textId="2DD6F93F" w:rsidR="0030497B" w:rsidRDefault="00C7669A" w:rsidP="00C7669A">
            <w:pPr>
              <w:pStyle w:val="ListParagraph"/>
              <w:ind w:left="0"/>
              <w:jc w:val="center"/>
            </w:pPr>
            <w:r>
              <w:t>1,000y</w:t>
            </w:r>
          </w:p>
        </w:tc>
        <w:tc>
          <w:tcPr>
            <w:tcW w:w="3357" w:type="dxa"/>
            <w:tcBorders>
              <w:top w:val="single" w:sz="4" w:space="0" w:color="auto"/>
            </w:tcBorders>
          </w:tcPr>
          <w:p w14:paraId="447743EE" w14:textId="208B9A6B" w:rsidR="0030497B" w:rsidRDefault="00C7669A" w:rsidP="00C7669A">
            <w:pPr>
              <w:pStyle w:val="ListParagraph"/>
              <w:ind w:left="0"/>
              <w:jc w:val="center"/>
            </w:pPr>
            <w:r>
              <w:t>500 (x + y)</w:t>
            </w:r>
          </w:p>
        </w:tc>
      </w:tr>
    </w:tbl>
    <w:p w14:paraId="5B7BEB49" w14:textId="1390DEF5" w:rsidR="0030497B" w:rsidRDefault="00317D35" w:rsidP="00317D35">
      <w:pPr>
        <w:pStyle w:val="ListParagraph"/>
        <w:spacing w:before="60"/>
        <w:ind w:left="1080"/>
      </w:pPr>
      <w:r>
        <w:t>Where:</w:t>
      </w:r>
    </w:p>
    <w:p w14:paraId="37C60790" w14:textId="019BB787" w:rsidR="00317D35" w:rsidRDefault="00317D35" w:rsidP="00317D35">
      <w:pPr>
        <w:pStyle w:val="ListParagraph"/>
        <w:spacing w:before="60"/>
        <w:ind w:left="1080"/>
        <w:rPr>
          <w:szCs w:val="22"/>
        </w:rPr>
      </w:pPr>
      <w:r w:rsidRPr="00C16FF6">
        <w:rPr>
          <w:szCs w:val="22"/>
        </w:rPr>
        <w:t>x  =  the fraction of total heat input derived from gaseous fossil fuel, and</w:t>
      </w:r>
    </w:p>
    <w:p w14:paraId="4DDC64A6" w14:textId="6DE1A23B" w:rsidR="00317D35" w:rsidRDefault="00317D35" w:rsidP="00317D35">
      <w:pPr>
        <w:pStyle w:val="ListParagraph"/>
        <w:spacing w:before="60"/>
        <w:ind w:left="1080"/>
      </w:pPr>
      <w:r w:rsidRPr="00C16FF6">
        <w:rPr>
          <w:szCs w:val="22"/>
        </w:rPr>
        <w:t>y  =  the fraction of total heat input derived from liquid fossil fuel.</w:t>
      </w:r>
    </w:p>
    <w:p w14:paraId="59F7D86B" w14:textId="017F7833" w:rsidR="0030497B" w:rsidRPr="007623EE" w:rsidRDefault="0030497B" w:rsidP="00061DE9">
      <w:pPr>
        <w:pStyle w:val="ListParagraph"/>
        <w:numPr>
          <w:ilvl w:val="0"/>
          <w:numId w:val="55"/>
        </w:numPr>
        <w:ind w:left="1080"/>
      </w:pPr>
      <w:bookmarkStart w:id="59" w:name="_Ref519865050"/>
      <w:r w:rsidRPr="00C16FF6">
        <w:rPr>
          <w:bCs/>
        </w:rPr>
        <w:t>As an acceptable alternative, the owner or operator of an affected facility may elect to use the SO</w:t>
      </w:r>
      <w:r w:rsidRPr="00C16FF6">
        <w:rPr>
          <w:bCs/>
          <w:vertAlign w:val="subscript"/>
        </w:rPr>
        <w:t>2</w:t>
      </w:r>
      <w:r w:rsidRPr="00C16FF6">
        <w:rPr>
          <w:bCs/>
        </w:rPr>
        <w:t xml:space="preserve"> and NO</w:t>
      </w:r>
      <w:r w:rsidRPr="00C16FF6">
        <w:rPr>
          <w:bCs/>
          <w:vertAlign w:val="subscript"/>
        </w:rPr>
        <w:t>X</w:t>
      </w:r>
      <w:r w:rsidRPr="00C16FF6">
        <w:rPr>
          <w:bCs/>
        </w:rPr>
        <w:t xml:space="preserve"> span values determined according to sections 2.1.1 and 2.1.2 in appendix A to part 75 of this </w:t>
      </w:r>
      <w:r w:rsidRPr="007623EE">
        <w:rPr>
          <w:bCs/>
        </w:rPr>
        <w:t xml:space="preserve">chapter. Span values shall be rounded off according to the applicable procedures in section 2 of appendix A to </w:t>
      </w:r>
      <w:r w:rsidR="003E648C" w:rsidRPr="007623EE">
        <w:rPr>
          <w:bCs/>
        </w:rPr>
        <w:t>40 CFR</w:t>
      </w:r>
      <w:r w:rsidRPr="007623EE">
        <w:rPr>
          <w:bCs/>
        </w:rPr>
        <w:t xml:space="preserve"> 75.</w:t>
      </w:r>
      <w:bookmarkEnd w:id="59"/>
    </w:p>
    <w:p w14:paraId="654DF1E3" w14:textId="36D092DD" w:rsidR="003E648C" w:rsidRPr="007623EE" w:rsidRDefault="003E648C" w:rsidP="00061DE9">
      <w:pPr>
        <w:numPr>
          <w:ilvl w:val="0"/>
          <w:numId w:val="54"/>
        </w:numPr>
        <w:tabs>
          <w:tab w:val="clear" w:pos="720"/>
        </w:tabs>
        <w:ind w:left="720" w:hanging="360"/>
      </w:pPr>
      <w:bookmarkStart w:id="60" w:name="_Hlk520102279"/>
      <w:bookmarkEnd w:id="58"/>
      <w:r w:rsidRPr="007623EE">
        <w:rPr>
          <w:szCs w:val="22"/>
        </w:rPr>
        <w:t xml:space="preserve">All span values computed under paragraph </w:t>
      </w:r>
      <w:r w:rsidRPr="007623EE">
        <w:rPr>
          <w:b/>
          <w:szCs w:val="22"/>
        </w:rPr>
        <w:t>c</w:t>
      </w:r>
      <w:r w:rsidRPr="007623EE">
        <w:rPr>
          <w:szCs w:val="22"/>
        </w:rPr>
        <w:fldChar w:fldCharType="begin"/>
      </w:r>
      <w:r w:rsidRPr="007623EE">
        <w:rPr>
          <w:b/>
          <w:szCs w:val="22"/>
        </w:rPr>
        <w:instrText xml:space="preserve"> REF _Ref519865220 \r \h </w:instrText>
      </w:r>
      <w:r w:rsidR="007623EE">
        <w:rPr>
          <w:szCs w:val="22"/>
        </w:rPr>
        <w:instrText xml:space="preserve"> \* MERGEFORMAT </w:instrText>
      </w:r>
      <w:r w:rsidRPr="007623EE">
        <w:rPr>
          <w:szCs w:val="22"/>
        </w:rPr>
      </w:r>
      <w:r w:rsidRPr="007623EE">
        <w:rPr>
          <w:szCs w:val="22"/>
        </w:rPr>
        <w:fldChar w:fldCharType="separate"/>
      </w:r>
      <w:r w:rsidR="00D31800">
        <w:rPr>
          <w:b/>
          <w:szCs w:val="22"/>
        </w:rPr>
        <w:t>(1)</w:t>
      </w:r>
      <w:r w:rsidRPr="007623EE">
        <w:rPr>
          <w:szCs w:val="22"/>
        </w:rPr>
        <w:fldChar w:fldCharType="end"/>
      </w:r>
      <w:r w:rsidRPr="007623EE">
        <w:rPr>
          <w:szCs w:val="22"/>
        </w:rPr>
        <w:t xml:space="preserve"> for burning combinations of fossil fuels shall be rounded to the nearest 500 ppm.  Span values that are computed under paragraph </w:t>
      </w:r>
      <w:r w:rsidRPr="007623EE">
        <w:rPr>
          <w:b/>
          <w:szCs w:val="22"/>
        </w:rPr>
        <w:t>c</w:t>
      </w:r>
      <w:r w:rsidRPr="007623EE">
        <w:rPr>
          <w:b/>
          <w:szCs w:val="22"/>
        </w:rPr>
        <w:fldChar w:fldCharType="begin"/>
      </w:r>
      <w:r w:rsidRPr="007623EE">
        <w:rPr>
          <w:b/>
          <w:szCs w:val="22"/>
        </w:rPr>
        <w:instrText xml:space="preserve"> REF _Ref519865050 \r \h  \* MERGEFORMAT </w:instrText>
      </w:r>
      <w:r w:rsidRPr="007623EE">
        <w:rPr>
          <w:b/>
          <w:szCs w:val="22"/>
        </w:rPr>
      </w:r>
      <w:r w:rsidRPr="007623EE">
        <w:rPr>
          <w:b/>
          <w:szCs w:val="22"/>
        </w:rPr>
        <w:fldChar w:fldCharType="separate"/>
      </w:r>
      <w:r w:rsidR="00D31800">
        <w:rPr>
          <w:b/>
          <w:szCs w:val="22"/>
        </w:rPr>
        <w:t>(2)</w:t>
      </w:r>
      <w:r w:rsidRPr="007623EE">
        <w:rPr>
          <w:b/>
          <w:szCs w:val="22"/>
        </w:rPr>
        <w:fldChar w:fldCharType="end"/>
      </w:r>
      <w:r w:rsidRPr="007623EE">
        <w:rPr>
          <w:szCs w:val="22"/>
        </w:rPr>
        <w:t xml:space="preserve"> shall be rounded off according to the applicable procedures in section 2 of appendix A to 40 CFR 75.</w:t>
      </w:r>
    </w:p>
    <w:p w14:paraId="38EC3A8E" w14:textId="7841F4B8" w:rsidR="003E648C" w:rsidRDefault="003E648C" w:rsidP="00616EBE">
      <w:pPr>
        <w:spacing w:after="120"/>
        <w:ind w:left="360"/>
        <w:rPr>
          <w:szCs w:val="22"/>
        </w:rPr>
      </w:pPr>
      <w:r w:rsidRPr="00C16FF6">
        <w:rPr>
          <w:szCs w:val="22"/>
        </w:rPr>
        <w:t>[40 CFR 60.45(c)]</w:t>
      </w:r>
    </w:p>
    <w:p w14:paraId="306FF866" w14:textId="548D4099" w:rsidR="00616EBE" w:rsidRPr="00616EBE" w:rsidRDefault="00616EBE" w:rsidP="00616EBE">
      <w:pPr>
        <w:numPr>
          <w:ilvl w:val="0"/>
          <w:numId w:val="2"/>
        </w:numPr>
        <w:tabs>
          <w:tab w:val="num" w:pos="720"/>
        </w:tabs>
        <w:ind w:left="360" w:hanging="360"/>
      </w:pPr>
      <w:bookmarkStart w:id="61" w:name="_Ref519866269"/>
      <w:bookmarkEnd w:id="60"/>
      <w:r w:rsidRPr="00C16FF6">
        <w:rPr>
          <w:szCs w:val="22"/>
          <w:u w:val="single"/>
        </w:rPr>
        <w:t>Conversion Procedures</w:t>
      </w:r>
      <w:r w:rsidRPr="00C16FF6">
        <w:rPr>
          <w:szCs w:val="22"/>
        </w:rPr>
        <w:t>.  For any continuous monitoring system installed under 40 CFR 60.45(a), the following conversion procedures shall be used to convert the continuous monitoring data into units of the applicable standards (ng/J, lb/MMBtu):</w:t>
      </w:r>
      <w:bookmarkEnd w:id="61"/>
    </w:p>
    <w:p w14:paraId="63B486B8" w14:textId="77777777" w:rsidR="00616EBE" w:rsidRPr="00C16FF6" w:rsidRDefault="00616EBE" w:rsidP="00061DE9">
      <w:pPr>
        <w:numPr>
          <w:ilvl w:val="0"/>
          <w:numId w:val="56"/>
        </w:numPr>
        <w:tabs>
          <w:tab w:val="clear" w:pos="720"/>
        </w:tabs>
        <w:spacing w:after="60"/>
        <w:ind w:left="720" w:hanging="360"/>
        <w:rPr>
          <w:szCs w:val="22"/>
        </w:rPr>
      </w:pPr>
      <w:r w:rsidRPr="00C16FF6">
        <w:rPr>
          <w:szCs w:val="22"/>
        </w:rPr>
        <w:t>When a continuous monitoring system for measuring oxygen is selected, the measurement of the pollutant concentration and oxygen concentration shall each be on a consistent basis (wet or dry).  Alternative procedures approved by the Administrator shall be used when measurements are on a wet basis.  When measurements are on a dry basis, the following conversion procedure shall be used:</w:t>
      </w:r>
    </w:p>
    <w:p w14:paraId="49F41C2D" w14:textId="393F5092" w:rsidR="00616EBE" w:rsidRPr="00616EBE" w:rsidRDefault="00616EBE" w:rsidP="003A46E8">
      <w:pPr>
        <w:spacing w:after="60"/>
        <w:ind w:left="720"/>
      </w:pPr>
      <m:oMathPara>
        <m:oMathParaPr>
          <m:jc m:val="left"/>
        </m:oMathParaPr>
        <m:oMath>
          <m:r>
            <w:rPr>
              <w:rFonts w:ascii="Cambria Math" w:hAnsi="Cambria Math"/>
            </w:rPr>
            <m:t>E=CF</m:t>
          </m:r>
          <m:d>
            <m:dPr>
              <m:ctrlPr>
                <w:rPr>
                  <w:rFonts w:ascii="Cambria Math" w:hAnsi="Cambria Math"/>
                  <w:i/>
                </w:rPr>
              </m:ctrlPr>
            </m:dPr>
            <m:e>
              <m:f>
                <m:fPr>
                  <m:ctrlPr>
                    <w:rPr>
                      <w:rFonts w:ascii="Cambria Math" w:hAnsi="Cambria Math"/>
                      <w:i/>
                    </w:rPr>
                  </m:ctrlPr>
                </m:fPr>
                <m:num>
                  <m:r>
                    <w:rPr>
                      <w:rFonts w:ascii="Cambria Math" w:hAnsi="Cambria Math"/>
                    </w:rPr>
                    <m:t>20.9</m:t>
                  </m:r>
                </m:num>
                <m:den>
                  <m:r>
                    <w:rPr>
                      <w:rFonts w:ascii="Cambria Math" w:hAnsi="Cambria Math"/>
                    </w:rPr>
                    <m:t>20.9-%</m:t>
                  </m:r>
                  <m:sSub>
                    <m:sSubPr>
                      <m:ctrlPr>
                        <w:rPr>
                          <w:rFonts w:ascii="Cambria Math" w:hAnsi="Cambria Math"/>
                          <w:i/>
                        </w:rPr>
                      </m:ctrlPr>
                    </m:sSubPr>
                    <m:e>
                      <m:r>
                        <w:rPr>
                          <w:rFonts w:ascii="Cambria Math" w:hAnsi="Cambria Math"/>
                        </w:rPr>
                        <m:t>O</m:t>
                      </m:r>
                    </m:e>
                    <m:sub>
                      <m:r>
                        <w:rPr>
                          <w:rFonts w:ascii="Cambria Math" w:hAnsi="Cambria Math"/>
                        </w:rPr>
                        <m:t>2</m:t>
                      </m:r>
                    </m:sub>
                  </m:sSub>
                </m:den>
              </m:f>
            </m:e>
          </m:d>
        </m:oMath>
      </m:oMathPara>
    </w:p>
    <w:p w14:paraId="4D02D2F8" w14:textId="76071A76" w:rsidR="00616EBE" w:rsidRPr="007623EE" w:rsidRDefault="00616EBE" w:rsidP="003A46E8">
      <w:pPr>
        <w:spacing w:before="60"/>
        <w:ind w:left="720"/>
      </w:pPr>
      <w:r>
        <w:t xml:space="preserve">Where E, C, F and </w:t>
      </w:r>
      <w:r w:rsidRPr="007623EE">
        <w:t>%O</w:t>
      </w:r>
      <w:r w:rsidRPr="007623EE">
        <w:rPr>
          <w:vertAlign w:val="subscript"/>
        </w:rPr>
        <w:t>2</w:t>
      </w:r>
      <w:r w:rsidRPr="007623EE">
        <w:t xml:space="preserve"> are determined under </w:t>
      </w:r>
      <w:r w:rsidR="00FB19F8" w:rsidRPr="007623EE">
        <w:t xml:space="preserve">Specific Condition </w:t>
      </w:r>
      <w:r w:rsidR="00FB19F8" w:rsidRPr="007623EE">
        <w:rPr>
          <w:b/>
        </w:rPr>
        <w:fldChar w:fldCharType="begin"/>
      </w:r>
      <w:r w:rsidR="00FB19F8" w:rsidRPr="007623EE">
        <w:rPr>
          <w:b/>
        </w:rPr>
        <w:instrText xml:space="preserve"> REF _Ref519866420 \r \h  \* MERGEFORMAT </w:instrText>
      </w:r>
      <w:r w:rsidR="00FB19F8" w:rsidRPr="007623EE">
        <w:rPr>
          <w:b/>
        </w:rPr>
      </w:r>
      <w:r w:rsidR="00FB19F8" w:rsidRPr="007623EE">
        <w:rPr>
          <w:b/>
        </w:rPr>
        <w:fldChar w:fldCharType="separate"/>
      </w:r>
      <w:r w:rsidR="00D31800">
        <w:rPr>
          <w:b/>
        </w:rPr>
        <w:t>A.30</w:t>
      </w:r>
      <w:r w:rsidR="00FB19F8" w:rsidRPr="007623EE">
        <w:rPr>
          <w:b/>
        </w:rPr>
        <w:fldChar w:fldCharType="end"/>
      </w:r>
      <w:r w:rsidR="00FB19F8" w:rsidRPr="007623EE">
        <w:t>.</w:t>
      </w:r>
    </w:p>
    <w:p w14:paraId="7D272181" w14:textId="396FC283" w:rsidR="00616EBE" w:rsidRPr="007623EE" w:rsidRDefault="00616EBE" w:rsidP="00061DE9">
      <w:pPr>
        <w:numPr>
          <w:ilvl w:val="0"/>
          <w:numId w:val="56"/>
        </w:numPr>
        <w:tabs>
          <w:tab w:val="clear" w:pos="720"/>
        </w:tabs>
        <w:spacing w:after="60"/>
        <w:ind w:left="720" w:hanging="360"/>
      </w:pPr>
      <w:r w:rsidRPr="007623EE">
        <w:rPr>
          <w:szCs w:val="22"/>
        </w:rPr>
        <w:t>When a CEMS for measuring CO</w:t>
      </w:r>
      <w:r w:rsidRPr="007623EE">
        <w:rPr>
          <w:szCs w:val="22"/>
          <w:vertAlign w:val="subscript"/>
        </w:rPr>
        <w:t>2</w:t>
      </w:r>
      <w:r w:rsidRPr="007623EE">
        <w:rPr>
          <w:szCs w:val="22"/>
        </w:rPr>
        <w:t xml:space="preserve"> is selected, the measurement of the pollutant concentration and carbon dioxide concentration shall each be on a consistent basis (wet or dry) and the following conversion procedure shall be used:</w:t>
      </w:r>
    </w:p>
    <w:p w14:paraId="33E1CCA5" w14:textId="4D56C04F" w:rsidR="00616EBE" w:rsidRPr="00616EBE" w:rsidRDefault="00616EBE" w:rsidP="003A46E8">
      <w:pPr>
        <w:spacing w:after="60"/>
        <w:ind w:left="720"/>
      </w:pPr>
      <m:oMathPara>
        <m:oMathParaPr>
          <m:jc m:val="left"/>
        </m:oMathParaPr>
        <m:oMath>
          <m:r>
            <w:rPr>
              <w:rFonts w:ascii="Cambria Math" w:hAnsi="Cambria Math"/>
            </w:rPr>
            <m:t>E=</m:t>
          </m:r>
          <m:sSub>
            <m:sSubPr>
              <m:ctrlPr>
                <w:rPr>
                  <w:rFonts w:ascii="Cambria Math" w:hAnsi="Cambria Math"/>
                  <w:i/>
                </w:rPr>
              </m:ctrlPr>
            </m:sSubPr>
            <m:e>
              <m:r>
                <w:rPr>
                  <w:rFonts w:ascii="Cambria Math" w:hAnsi="Cambria Math"/>
                </w:rPr>
                <m:t>CF</m:t>
              </m:r>
            </m:e>
            <m:sub>
              <m:r>
                <w:rPr>
                  <w:rFonts w:ascii="Cambria Math" w:hAnsi="Cambria Math"/>
                </w:rPr>
                <m:t>c</m:t>
              </m:r>
            </m:sub>
          </m:sSub>
          <m:d>
            <m:dPr>
              <m:ctrlPr>
                <w:rPr>
                  <w:rFonts w:ascii="Cambria Math" w:hAnsi="Cambria Math"/>
                  <w:i/>
                </w:rPr>
              </m:ctrlPr>
            </m:dPr>
            <m:e>
              <m:f>
                <m:fPr>
                  <m:ctrlPr>
                    <w:rPr>
                      <w:rFonts w:ascii="Cambria Math" w:hAnsi="Cambria Math"/>
                      <w:i/>
                    </w:rPr>
                  </m:ctrlPr>
                </m:fPr>
                <m:num>
                  <m:r>
                    <w:rPr>
                      <w:rFonts w:ascii="Cambria Math" w:hAnsi="Cambria Math"/>
                    </w:rPr>
                    <m:t>100</m:t>
                  </m:r>
                </m:num>
                <m:den>
                  <m:r>
                    <w:rPr>
                      <w:rFonts w:ascii="Cambria Math" w:hAnsi="Cambria Math"/>
                    </w:rPr>
                    <m:t>%C</m:t>
                  </m:r>
                  <m:sSub>
                    <m:sSubPr>
                      <m:ctrlPr>
                        <w:rPr>
                          <w:rFonts w:ascii="Cambria Math" w:hAnsi="Cambria Math"/>
                          <w:i/>
                        </w:rPr>
                      </m:ctrlPr>
                    </m:sSubPr>
                    <m:e>
                      <m:r>
                        <w:rPr>
                          <w:rFonts w:ascii="Cambria Math" w:hAnsi="Cambria Math"/>
                        </w:rPr>
                        <m:t>O</m:t>
                      </m:r>
                    </m:e>
                    <m:sub>
                      <m:r>
                        <w:rPr>
                          <w:rFonts w:ascii="Cambria Math" w:hAnsi="Cambria Math"/>
                        </w:rPr>
                        <m:t>2</m:t>
                      </m:r>
                    </m:sub>
                  </m:sSub>
                </m:den>
              </m:f>
            </m:e>
          </m:d>
        </m:oMath>
      </m:oMathPara>
    </w:p>
    <w:p w14:paraId="141C69A6" w14:textId="52B54421" w:rsidR="00616EBE" w:rsidRPr="007623EE" w:rsidRDefault="00FB19F8" w:rsidP="00616EBE">
      <w:pPr>
        <w:ind w:left="720"/>
      </w:pPr>
      <w:r w:rsidRPr="007623EE">
        <w:t>Where E, C, F</w:t>
      </w:r>
      <w:r w:rsidRPr="007623EE">
        <w:rPr>
          <w:vertAlign w:val="subscript"/>
        </w:rPr>
        <w:t>c</w:t>
      </w:r>
      <w:r w:rsidRPr="007623EE">
        <w:t xml:space="preserve"> and %CO</w:t>
      </w:r>
      <w:r w:rsidRPr="007623EE">
        <w:rPr>
          <w:vertAlign w:val="subscript"/>
        </w:rPr>
        <w:t>2</w:t>
      </w:r>
      <w:r w:rsidRPr="007623EE">
        <w:t xml:space="preserve"> are determined under </w:t>
      </w:r>
      <w:r w:rsidR="00BB29AB" w:rsidRPr="007623EE">
        <w:t xml:space="preserve">Specific Condition </w:t>
      </w:r>
      <w:r w:rsidR="00BB29AB" w:rsidRPr="007623EE">
        <w:rPr>
          <w:b/>
        </w:rPr>
        <w:fldChar w:fldCharType="begin"/>
      </w:r>
      <w:r w:rsidR="00BB29AB" w:rsidRPr="007623EE">
        <w:rPr>
          <w:b/>
        </w:rPr>
        <w:instrText xml:space="preserve"> REF _Ref519866420 \r \h  \* MERGEFORMAT </w:instrText>
      </w:r>
      <w:r w:rsidR="00BB29AB" w:rsidRPr="007623EE">
        <w:rPr>
          <w:b/>
        </w:rPr>
      </w:r>
      <w:r w:rsidR="00BB29AB" w:rsidRPr="007623EE">
        <w:rPr>
          <w:b/>
        </w:rPr>
        <w:fldChar w:fldCharType="separate"/>
      </w:r>
      <w:r w:rsidR="00D31800">
        <w:rPr>
          <w:b/>
        </w:rPr>
        <w:t>A.30</w:t>
      </w:r>
      <w:r w:rsidR="00BB29AB" w:rsidRPr="007623EE">
        <w:rPr>
          <w:b/>
        </w:rPr>
        <w:fldChar w:fldCharType="end"/>
      </w:r>
      <w:r w:rsidRPr="007623EE">
        <w:t>.</w:t>
      </w:r>
    </w:p>
    <w:p w14:paraId="0BB4D219" w14:textId="0016AD7B" w:rsidR="00FB19F8" w:rsidRDefault="00FB19F8" w:rsidP="00FB19F8">
      <w:pPr>
        <w:spacing w:after="120"/>
        <w:ind w:left="360"/>
      </w:pPr>
      <w:r>
        <w:t>[40 CFR 60.45(e)]</w:t>
      </w:r>
    </w:p>
    <w:p w14:paraId="0109F23F" w14:textId="407A9ECC" w:rsidR="00FB19F8" w:rsidRPr="007623EE" w:rsidRDefault="00FB19F8" w:rsidP="00FB19F8">
      <w:pPr>
        <w:numPr>
          <w:ilvl w:val="0"/>
          <w:numId w:val="2"/>
        </w:numPr>
        <w:tabs>
          <w:tab w:val="num" w:pos="720"/>
        </w:tabs>
        <w:ind w:left="360" w:hanging="360"/>
      </w:pPr>
      <w:bookmarkStart w:id="62" w:name="_Ref519866420"/>
      <w:r w:rsidRPr="00C16FF6">
        <w:rPr>
          <w:szCs w:val="22"/>
          <w:u w:val="single"/>
        </w:rPr>
        <w:t>Equation Values</w:t>
      </w:r>
      <w:r w:rsidRPr="00C16FF6">
        <w:rPr>
          <w:szCs w:val="22"/>
        </w:rPr>
        <w:t>.  The values us</w:t>
      </w:r>
      <w:r w:rsidRPr="007623EE">
        <w:rPr>
          <w:szCs w:val="22"/>
        </w:rPr>
        <w:t xml:space="preserve">ed in the equations under Specific Condition </w:t>
      </w:r>
      <w:r w:rsidRPr="007623EE">
        <w:rPr>
          <w:b/>
          <w:szCs w:val="22"/>
        </w:rPr>
        <w:fldChar w:fldCharType="begin"/>
      </w:r>
      <w:r w:rsidRPr="007623EE">
        <w:rPr>
          <w:b/>
          <w:szCs w:val="22"/>
        </w:rPr>
        <w:instrText xml:space="preserve"> REF _Ref519866269 \r \h  \* MERGEFORMAT </w:instrText>
      </w:r>
      <w:r w:rsidRPr="007623EE">
        <w:rPr>
          <w:b/>
          <w:szCs w:val="22"/>
        </w:rPr>
      </w:r>
      <w:r w:rsidRPr="007623EE">
        <w:rPr>
          <w:b/>
          <w:szCs w:val="22"/>
        </w:rPr>
        <w:fldChar w:fldCharType="separate"/>
      </w:r>
      <w:r w:rsidR="00D31800">
        <w:rPr>
          <w:b/>
          <w:szCs w:val="22"/>
        </w:rPr>
        <w:t>A.29</w:t>
      </w:r>
      <w:r w:rsidRPr="007623EE">
        <w:rPr>
          <w:b/>
          <w:szCs w:val="22"/>
        </w:rPr>
        <w:fldChar w:fldCharType="end"/>
      </w:r>
      <w:r w:rsidRPr="007623EE">
        <w:rPr>
          <w:szCs w:val="22"/>
        </w:rPr>
        <w:t xml:space="preserve"> are derived as follows:</w:t>
      </w:r>
      <w:bookmarkEnd w:id="62"/>
    </w:p>
    <w:p w14:paraId="5475B94A" w14:textId="7AA6CCC5" w:rsidR="00FB19F8" w:rsidRPr="007623EE" w:rsidRDefault="00BB29AB" w:rsidP="00061DE9">
      <w:pPr>
        <w:pStyle w:val="ListParagraph"/>
        <w:numPr>
          <w:ilvl w:val="0"/>
          <w:numId w:val="57"/>
        </w:numPr>
      </w:pPr>
      <w:r w:rsidRPr="007623EE">
        <w:rPr>
          <w:szCs w:val="22"/>
        </w:rPr>
        <w:t>E  =  pollutant emissions, ng/J (lb/MMBtu).</w:t>
      </w:r>
    </w:p>
    <w:p w14:paraId="6C0A8C1D" w14:textId="054EE490" w:rsidR="00BB29AB" w:rsidRPr="007623EE" w:rsidRDefault="00BB29AB" w:rsidP="00061DE9">
      <w:pPr>
        <w:pStyle w:val="ListParagraph"/>
        <w:numPr>
          <w:ilvl w:val="0"/>
          <w:numId w:val="57"/>
        </w:numPr>
      </w:pPr>
      <w:proofErr w:type="gramStart"/>
      <w:r w:rsidRPr="007623EE">
        <w:rPr>
          <w:szCs w:val="22"/>
        </w:rPr>
        <w:t>C  =</w:t>
      </w:r>
      <w:proofErr w:type="gramEnd"/>
      <w:r w:rsidRPr="007623EE">
        <w:rPr>
          <w:szCs w:val="22"/>
        </w:rPr>
        <w:t xml:space="preserve">  pollutant concentration, ng/dscm (lb/dscf), determined by multiplying the average concentration (ppm) for each one-hour period by 4.15</w:t>
      </w:r>
      <w:r w:rsidRPr="007623EE">
        <w:rPr>
          <w:szCs w:val="22"/>
        </w:rPr>
        <w:object w:dxaOrig="220" w:dyaOrig="220" w14:anchorId="6AA2510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pt;height:11pt" o:ole="" fillcolor="window">
            <v:imagedata r:id="rId34" o:title=""/>
          </v:shape>
          <o:OLEObject Type="Embed" ProgID="Equation.2" ShapeID="_x0000_i1025" DrawAspect="Content" ObjectID="_1602926807" r:id="rId35"/>
        </w:object>
      </w:r>
      <w:r w:rsidRPr="007623EE">
        <w:rPr>
          <w:szCs w:val="22"/>
        </w:rPr>
        <w:t>104 M ng/dscm per ppm (2.59</w:t>
      </w:r>
      <w:r w:rsidRPr="007623EE">
        <w:rPr>
          <w:szCs w:val="22"/>
        </w:rPr>
        <w:object w:dxaOrig="220" w:dyaOrig="220" w14:anchorId="700B8236">
          <v:shape id="_x0000_i1026" type="#_x0000_t75" style="width:11pt;height:11pt" o:ole="" fillcolor="window">
            <v:imagedata r:id="rId34" o:title=""/>
          </v:shape>
          <o:OLEObject Type="Embed" ProgID="Equation.2" ShapeID="_x0000_i1026" DrawAspect="Content" ObjectID="_1602926808" r:id="rId36"/>
        </w:object>
      </w:r>
      <w:r w:rsidRPr="007623EE">
        <w:rPr>
          <w:szCs w:val="22"/>
        </w:rPr>
        <w:t>10-9 M lb/dscf per ppm) where M = pollutant molecular weight, g/g-mole (lb/lb-mole). M = 64.07 for sulfur dioxide and 46.01 for nitrogen oxides.</w:t>
      </w:r>
    </w:p>
    <w:p w14:paraId="3EA31B1D" w14:textId="175C7662" w:rsidR="00BB29AB" w:rsidRPr="007623EE" w:rsidRDefault="00BB29AB" w:rsidP="00061DE9">
      <w:pPr>
        <w:pStyle w:val="ListParagraph"/>
        <w:numPr>
          <w:ilvl w:val="0"/>
          <w:numId w:val="57"/>
        </w:numPr>
      </w:pPr>
      <w:r w:rsidRPr="007623EE">
        <w:rPr>
          <w:szCs w:val="22"/>
        </w:rPr>
        <w:t>% O</w:t>
      </w:r>
      <w:r w:rsidRPr="007623EE">
        <w:rPr>
          <w:szCs w:val="22"/>
          <w:vertAlign w:val="subscript"/>
        </w:rPr>
        <w:t>2</w:t>
      </w:r>
      <w:r w:rsidRPr="007623EE">
        <w:rPr>
          <w:szCs w:val="22"/>
        </w:rPr>
        <w:t xml:space="preserve">, % </w:t>
      </w:r>
      <w:proofErr w:type="gramStart"/>
      <w:r w:rsidRPr="007623EE">
        <w:rPr>
          <w:szCs w:val="22"/>
        </w:rPr>
        <w:t>CO</w:t>
      </w:r>
      <w:r w:rsidRPr="007623EE">
        <w:rPr>
          <w:szCs w:val="22"/>
          <w:vertAlign w:val="subscript"/>
        </w:rPr>
        <w:t>2</w:t>
      </w:r>
      <w:r w:rsidRPr="007623EE">
        <w:rPr>
          <w:szCs w:val="22"/>
        </w:rPr>
        <w:t xml:space="preserve">  =</w:t>
      </w:r>
      <w:proofErr w:type="gramEnd"/>
      <w:r w:rsidRPr="007623EE">
        <w:rPr>
          <w:szCs w:val="22"/>
        </w:rPr>
        <w:t xml:space="preserve">  oxygen or carbon dioxide volume (expressed as percent), determined with equipment specified under Specific Condition </w:t>
      </w:r>
      <w:r w:rsidRPr="007623EE">
        <w:rPr>
          <w:b/>
          <w:szCs w:val="22"/>
        </w:rPr>
        <w:fldChar w:fldCharType="begin"/>
      </w:r>
      <w:r w:rsidRPr="007623EE">
        <w:rPr>
          <w:b/>
          <w:szCs w:val="22"/>
        </w:rPr>
        <w:instrText xml:space="preserve"> REF _Ref519866698 \r \h  \* MERGEFORMAT </w:instrText>
      </w:r>
      <w:r w:rsidRPr="007623EE">
        <w:rPr>
          <w:b/>
          <w:szCs w:val="22"/>
        </w:rPr>
      </w:r>
      <w:r w:rsidRPr="007623EE">
        <w:rPr>
          <w:b/>
          <w:szCs w:val="22"/>
        </w:rPr>
        <w:fldChar w:fldCharType="separate"/>
      </w:r>
      <w:r w:rsidR="00D31800">
        <w:rPr>
          <w:b/>
          <w:szCs w:val="22"/>
        </w:rPr>
        <w:t>A.19</w:t>
      </w:r>
      <w:r w:rsidRPr="007623EE">
        <w:rPr>
          <w:b/>
          <w:szCs w:val="22"/>
        </w:rPr>
        <w:fldChar w:fldCharType="end"/>
      </w:r>
      <w:r w:rsidRPr="007623EE">
        <w:rPr>
          <w:szCs w:val="22"/>
        </w:rPr>
        <w:t>.</w:t>
      </w:r>
    </w:p>
    <w:p w14:paraId="244E042D" w14:textId="7AD41C38" w:rsidR="00BB29AB" w:rsidRPr="007623EE" w:rsidRDefault="00BB29AB" w:rsidP="00061DE9">
      <w:pPr>
        <w:pStyle w:val="ListParagraph"/>
        <w:numPr>
          <w:ilvl w:val="0"/>
          <w:numId w:val="57"/>
        </w:numPr>
        <w:contextualSpacing w:val="0"/>
      </w:pPr>
      <w:bookmarkStart w:id="63" w:name="_Ref519866965"/>
      <w:r w:rsidRPr="007623EE">
        <w:rPr>
          <w:szCs w:val="22"/>
        </w:rPr>
        <w:t>F, Fc = a factor representing a ratio of the volume of dry flue gases generated to the calorific value of the fuel combusted (F), and a factor representing a ratio of the volume of carbon dioxide generated to the calorific value of the fuel combusted (Fc), respectively.  Values of F and Fc are given as follows:</w:t>
      </w:r>
      <w:bookmarkEnd w:id="63"/>
    </w:p>
    <w:p w14:paraId="364B915F" w14:textId="77A19667" w:rsidR="00BB29AB" w:rsidRPr="007623EE" w:rsidRDefault="00BB29AB" w:rsidP="00061DE9">
      <w:pPr>
        <w:pStyle w:val="ListParagraph"/>
        <w:numPr>
          <w:ilvl w:val="0"/>
          <w:numId w:val="58"/>
        </w:numPr>
        <w:ind w:left="1080"/>
        <w:contextualSpacing w:val="0"/>
      </w:pPr>
      <w:r w:rsidRPr="007623EE">
        <w:rPr>
          <w:szCs w:val="22"/>
        </w:rPr>
        <w:t>For liquid fossil fuels including crude, residual, and distillate oils, F = 2.476</w:t>
      </w:r>
      <w:r w:rsidRPr="007623EE">
        <w:rPr>
          <w:position w:val="-4"/>
          <w:szCs w:val="22"/>
        </w:rPr>
        <w:object w:dxaOrig="220" w:dyaOrig="220" w14:anchorId="5E93C659">
          <v:shape id="_x0000_i1027" type="#_x0000_t75" style="width:11pt;height:11pt" o:ole="" fillcolor="window">
            <v:imagedata r:id="rId34" o:title=""/>
          </v:shape>
          <o:OLEObject Type="Embed" ProgID="Equation.2" ShapeID="_x0000_i1027" DrawAspect="Content" ObjectID="_1602926809" r:id="rId37"/>
        </w:object>
      </w:r>
      <w:r w:rsidRPr="007623EE">
        <w:rPr>
          <w:szCs w:val="22"/>
        </w:rPr>
        <w:t>10</w:t>
      </w:r>
      <w:r w:rsidRPr="007623EE">
        <w:rPr>
          <w:szCs w:val="22"/>
          <w:vertAlign w:val="superscript"/>
        </w:rPr>
        <w:t>-7</w:t>
      </w:r>
      <w:r w:rsidRPr="007623EE">
        <w:rPr>
          <w:szCs w:val="22"/>
        </w:rPr>
        <w:t xml:space="preserve"> dscm/J (9,220 dscf/MMBtu) and F</w:t>
      </w:r>
      <w:r w:rsidRPr="007623EE">
        <w:rPr>
          <w:position w:val="-4"/>
          <w:szCs w:val="22"/>
        </w:rPr>
        <w:t xml:space="preserve">c </w:t>
      </w:r>
      <w:r w:rsidRPr="007623EE">
        <w:rPr>
          <w:szCs w:val="22"/>
        </w:rPr>
        <w:t>= 0.384</w:t>
      </w:r>
      <w:r w:rsidRPr="007623EE">
        <w:rPr>
          <w:position w:val="-4"/>
          <w:szCs w:val="22"/>
        </w:rPr>
        <w:object w:dxaOrig="220" w:dyaOrig="220" w14:anchorId="662D3E63">
          <v:shape id="_x0000_i1028" type="#_x0000_t75" style="width:11pt;height:11pt" o:ole="" fillcolor="window">
            <v:imagedata r:id="rId34" o:title=""/>
          </v:shape>
          <o:OLEObject Type="Embed" ProgID="Equation.2" ShapeID="_x0000_i1028" DrawAspect="Content" ObjectID="_1602926810" r:id="rId38"/>
        </w:object>
      </w:r>
      <w:r w:rsidRPr="007623EE">
        <w:rPr>
          <w:szCs w:val="22"/>
        </w:rPr>
        <w:t>10</w:t>
      </w:r>
      <w:r w:rsidRPr="007623EE">
        <w:rPr>
          <w:szCs w:val="22"/>
          <w:vertAlign w:val="superscript"/>
        </w:rPr>
        <w:t>-7</w:t>
      </w:r>
      <w:r w:rsidRPr="007623EE">
        <w:rPr>
          <w:szCs w:val="22"/>
        </w:rPr>
        <w:t xml:space="preserve"> </w:t>
      </w:r>
      <w:proofErr w:type="spellStart"/>
      <w:r w:rsidRPr="007623EE">
        <w:rPr>
          <w:szCs w:val="22"/>
        </w:rPr>
        <w:t>scm</w:t>
      </w:r>
      <w:proofErr w:type="spellEnd"/>
      <w:r w:rsidRPr="007623EE">
        <w:rPr>
          <w:szCs w:val="22"/>
        </w:rPr>
        <w:t xml:space="preserve"> CO</w:t>
      </w:r>
      <w:r w:rsidRPr="007623EE">
        <w:rPr>
          <w:position w:val="-4"/>
          <w:szCs w:val="22"/>
        </w:rPr>
        <w:t>2</w:t>
      </w:r>
      <w:r w:rsidRPr="007623EE">
        <w:rPr>
          <w:szCs w:val="22"/>
        </w:rPr>
        <w:t xml:space="preserve"> /J (1,430 scf CO</w:t>
      </w:r>
      <w:r w:rsidRPr="007623EE">
        <w:rPr>
          <w:szCs w:val="22"/>
          <w:vertAlign w:val="subscript"/>
        </w:rPr>
        <w:t xml:space="preserve">2 </w:t>
      </w:r>
      <w:r w:rsidRPr="007623EE">
        <w:rPr>
          <w:szCs w:val="22"/>
        </w:rPr>
        <w:t>/MMBtu).</w:t>
      </w:r>
    </w:p>
    <w:p w14:paraId="0D13E9BA" w14:textId="7BE4DCD6" w:rsidR="00BB29AB" w:rsidRPr="007623EE" w:rsidRDefault="00BB29AB" w:rsidP="00061DE9">
      <w:pPr>
        <w:pStyle w:val="ListParagraph"/>
        <w:numPr>
          <w:ilvl w:val="0"/>
          <w:numId w:val="58"/>
        </w:numPr>
        <w:ind w:left="1080"/>
        <w:contextualSpacing w:val="0"/>
      </w:pPr>
      <w:r w:rsidRPr="007623EE">
        <w:rPr>
          <w:szCs w:val="22"/>
        </w:rPr>
        <w:t xml:space="preserve">For gaseous fossil fuels, F = 2.347 </w:t>
      </w:r>
      <w:r w:rsidRPr="007623EE">
        <w:rPr>
          <w:szCs w:val="22"/>
        </w:rPr>
        <w:object w:dxaOrig="220" w:dyaOrig="220" w14:anchorId="154C5C9B">
          <v:shape id="_x0000_i1029" type="#_x0000_t75" style="width:11pt;height:11pt" o:ole="" fillcolor="window">
            <v:imagedata r:id="rId34" o:title=""/>
          </v:shape>
          <o:OLEObject Type="Embed" ProgID="Equation.2" ShapeID="_x0000_i1029" DrawAspect="Content" ObjectID="_1602926811" r:id="rId39"/>
        </w:object>
      </w:r>
      <w:r w:rsidRPr="007623EE">
        <w:rPr>
          <w:szCs w:val="22"/>
        </w:rPr>
        <w:t>10-7 dscm/J (8,740 dscf/MMBtu).  For natural gas, propane, and butane fuels, Fc = 0.279</w:t>
      </w:r>
      <w:r w:rsidRPr="007623EE">
        <w:rPr>
          <w:szCs w:val="22"/>
        </w:rPr>
        <w:object w:dxaOrig="220" w:dyaOrig="220" w14:anchorId="2D895CDC">
          <v:shape id="_x0000_i1030" type="#_x0000_t75" style="width:11pt;height:11pt" o:ole="" fillcolor="window">
            <v:imagedata r:id="rId34" o:title=""/>
          </v:shape>
          <o:OLEObject Type="Embed" ProgID="Equation.2" ShapeID="_x0000_i1030" DrawAspect="Content" ObjectID="_1602926812" r:id="rId40"/>
        </w:object>
      </w:r>
      <w:r w:rsidRPr="007623EE">
        <w:rPr>
          <w:szCs w:val="22"/>
        </w:rPr>
        <w:t xml:space="preserve">10-7 </w:t>
      </w:r>
      <w:proofErr w:type="spellStart"/>
      <w:r w:rsidRPr="007623EE">
        <w:rPr>
          <w:szCs w:val="22"/>
        </w:rPr>
        <w:t>scm</w:t>
      </w:r>
      <w:proofErr w:type="spellEnd"/>
      <w:r w:rsidRPr="007623EE">
        <w:rPr>
          <w:szCs w:val="22"/>
        </w:rPr>
        <w:t xml:space="preserve"> CO</w:t>
      </w:r>
      <w:r w:rsidRPr="007623EE">
        <w:rPr>
          <w:szCs w:val="22"/>
          <w:vertAlign w:val="subscript"/>
        </w:rPr>
        <w:t>2</w:t>
      </w:r>
      <w:r w:rsidRPr="007623EE">
        <w:rPr>
          <w:szCs w:val="22"/>
        </w:rPr>
        <w:t xml:space="preserve"> /J (1,040 scf CO</w:t>
      </w:r>
      <w:r w:rsidRPr="007623EE">
        <w:rPr>
          <w:szCs w:val="22"/>
          <w:vertAlign w:val="subscript"/>
        </w:rPr>
        <w:t>2</w:t>
      </w:r>
      <w:r w:rsidRPr="007623EE">
        <w:rPr>
          <w:szCs w:val="22"/>
        </w:rPr>
        <w:t xml:space="preserve"> /MMBtu) for natural gas, 0.322</w:t>
      </w:r>
      <w:r w:rsidRPr="007623EE">
        <w:rPr>
          <w:szCs w:val="22"/>
        </w:rPr>
        <w:object w:dxaOrig="220" w:dyaOrig="220" w14:anchorId="09BC2065">
          <v:shape id="_x0000_i1031" type="#_x0000_t75" style="width:11pt;height:11pt" o:ole="" fillcolor="window">
            <v:imagedata r:id="rId34" o:title=""/>
          </v:shape>
          <o:OLEObject Type="Embed" ProgID="Equation.2" ShapeID="_x0000_i1031" DrawAspect="Content" ObjectID="_1602926813" r:id="rId41"/>
        </w:object>
      </w:r>
      <w:r w:rsidRPr="007623EE">
        <w:rPr>
          <w:szCs w:val="22"/>
        </w:rPr>
        <w:t xml:space="preserve">10-7 </w:t>
      </w:r>
      <w:proofErr w:type="spellStart"/>
      <w:r w:rsidRPr="007623EE">
        <w:rPr>
          <w:szCs w:val="22"/>
        </w:rPr>
        <w:t>scm</w:t>
      </w:r>
      <w:proofErr w:type="spellEnd"/>
      <w:r w:rsidRPr="007623EE">
        <w:rPr>
          <w:szCs w:val="22"/>
        </w:rPr>
        <w:t xml:space="preserve"> CO</w:t>
      </w:r>
      <w:r w:rsidRPr="007623EE">
        <w:rPr>
          <w:szCs w:val="22"/>
          <w:vertAlign w:val="subscript"/>
        </w:rPr>
        <w:t>2</w:t>
      </w:r>
      <w:r w:rsidRPr="007623EE">
        <w:rPr>
          <w:szCs w:val="22"/>
        </w:rPr>
        <w:t xml:space="preserve"> /J (1,200 scf CO</w:t>
      </w:r>
      <w:r w:rsidRPr="007623EE">
        <w:rPr>
          <w:szCs w:val="22"/>
          <w:vertAlign w:val="subscript"/>
        </w:rPr>
        <w:t>2</w:t>
      </w:r>
      <w:r w:rsidRPr="007623EE">
        <w:rPr>
          <w:szCs w:val="22"/>
        </w:rPr>
        <w:t>/million Btu) for propane, and 0.338</w:t>
      </w:r>
      <w:r w:rsidRPr="007623EE">
        <w:rPr>
          <w:szCs w:val="22"/>
        </w:rPr>
        <w:object w:dxaOrig="220" w:dyaOrig="220" w14:anchorId="11336636">
          <v:shape id="_x0000_i1032" type="#_x0000_t75" style="width:11pt;height:11pt" o:ole="" fillcolor="window">
            <v:imagedata r:id="rId34" o:title=""/>
          </v:shape>
          <o:OLEObject Type="Embed" ProgID="Equation.2" ShapeID="_x0000_i1032" DrawAspect="Content" ObjectID="_1602926814" r:id="rId42"/>
        </w:object>
      </w:r>
      <w:r w:rsidRPr="007623EE">
        <w:rPr>
          <w:szCs w:val="22"/>
        </w:rPr>
        <w:t xml:space="preserve">10-7 </w:t>
      </w:r>
      <w:proofErr w:type="spellStart"/>
      <w:r w:rsidRPr="007623EE">
        <w:rPr>
          <w:szCs w:val="22"/>
        </w:rPr>
        <w:t>scm</w:t>
      </w:r>
      <w:proofErr w:type="spellEnd"/>
      <w:r w:rsidRPr="007623EE">
        <w:rPr>
          <w:szCs w:val="22"/>
        </w:rPr>
        <w:t xml:space="preserve"> CO</w:t>
      </w:r>
      <w:r w:rsidRPr="007623EE">
        <w:rPr>
          <w:szCs w:val="22"/>
          <w:vertAlign w:val="subscript"/>
        </w:rPr>
        <w:t>2</w:t>
      </w:r>
      <w:r w:rsidRPr="007623EE">
        <w:rPr>
          <w:szCs w:val="22"/>
        </w:rPr>
        <w:t xml:space="preserve"> /J (1,260 scf CO</w:t>
      </w:r>
      <w:r w:rsidRPr="007623EE">
        <w:rPr>
          <w:szCs w:val="22"/>
          <w:vertAlign w:val="subscript"/>
        </w:rPr>
        <w:t>2</w:t>
      </w:r>
      <w:r w:rsidRPr="007623EE">
        <w:rPr>
          <w:szCs w:val="22"/>
        </w:rPr>
        <w:t xml:space="preserve"> /MMBtu) for butane.</w:t>
      </w:r>
    </w:p>
    <w:p w14:paraId="5BB2972A" w14:textId="2D39E219" w:rsidR="00BB29AB" w:rsidRPr="007623EE" w:rsidRDefault="00BB29AB" w:rsidP="00061DE9">
      <w:pPr>
        <w:pStyle w:val="ListParagraph"/>
        <w:numPr>
          <w:ilvl w:val="0"/>
          <w:numId w:val="57"/>
        </w:numPr>
        <w:spacing w:after="60"/>
        <w:contextualSpacing w:val="0"/>
      </w:pPr>
      <w:bookmarkStart w:id="64" w:name="_Ref520098923"/>
      <w:r w:rsidRPr="007623EE">
        <w:rPr>
          <w:szCs w:val="22"/>
        </w:rPr>
        <w:t xml:space="preserve">The owner or operator may use the following equation to determine an F factor (dscm/J or dscf/MMBtu) on a dry basis (if it is desired to calculate F on a wet basis, consult the </w:t>
      </w:r>
      <w:r w:rsidR="00ED09F7" w:rsidRPr="007623EE">
        <w:rPr>
          <w:szCs w:val="22"/>
        </w:rPr>
        <w:t>Department</w:t>
      </w:r>
      <w:r w:rsidRPr="007623EE">
        <w:rPr>
          <w:szCs w:val="22"/>
        </w:rPr>
        <w:t>) or Fc factor (</w:t>
      </w:r>
      <w:proofErr w:type="spellStart"/>
      <w:r w:rsidRPr="007623EE">
        <w:rPr>
          <w:szCs w:val="22"/>
        </w:rPr>
        <w:t>scm</w:t>
      </w:r>
      <w:proofErr w:type="spellEnd"/>
      <w:r w:rsidRPr="007623EE">
        <w:rPr>
          <w:szCs w:val="22"/>
        </w:rPr>
        <w:t xml:space="preserve"> CO</w:t>
      </w:r>
      <w:r w:rsidRPr="007623EE">
        <w:rPr>
          <w:szCs w:val="22"/>
          <w:vertAlign w:val="subscript"/>
        </w:rPr>
        <w:t>2</w:t>
      </w:r>
      <w:r w:rsidRPr="007623EE">
        <w:rPr>
          <w:szCs w:val="22"/>
        </w:rPr>
        <w:t xml:space="preserve"> /J, or scf CO</w:t>
      </w:r>
      <w:r w:rsidRPr="007623EE">
        <w:rPr>
          <w:szCs w:val="22"/>
          <w:vertAlign w:val="subscript"/>
        </w:rPr>
        <w:t>2</w:t>
      </w:r>
      <w:r w:rsidRPr="007623EE">
        <w:rPr>
          <w:szCs w:val="22"/>
        </w:rPr>
        <w:t xml:space="preserve"> /MMBtu) on either basis in lieu of the F or Fc factors specified in paragraph </w:t>
      </w:r>
      <w:r w:rsidRPr="007623EE">
        <w:rPr>
          <w:b/>
          <w:szCs w:val="22"/>
        </w:rPr>
        <w:fldChar w:fldCharType="begin"/>
      </w:r>
      <w:r w:rsidRPr="007623EE">
        <w:rPr>
          <w:b/>
          <w:szCs w:val="22"/>
        </w:rPr>
        <w:instrText xml:space="preserve"> REF _Ref519866965 \r \h  \* MERGEFORMAT </w:instrText>
      </w:r>
      <w:r w:rsidRPr="007623EE">
        <w:rPr>
          <w:b/>
          <w:szCs w:val="22"/>
        </w:rPr>
      </w:r>
      <w:r w:rsidRPr="007623EE">
        <w:rPr>
          <w:b/>
          <w:szCs w:val="22"/>
        </w:rPr>
        <w:fldChar w:fldCharType="separate"/>
      </w:r>
      <w:r w:rsidR="00D31800">
        <w:rPr>
          <w:b/>
          <w:szCs w:val="22"/>
        </w:rPr>
        <w:t>d</w:t>
      </w:r>
      <w:r w:rsidRPr="007623EE">
        <w:rPr>
          <w:b/>
          <w:szCs w:val="22"/>
        </w:rPr>
        <w:fldChar w:fldCharType="end"/>
      </w:r>
      <w:r w:rsidRPr="007623EE">
        <w:rPr>
          <w:szCs w:val="22"/>
        </w:rPr>
        <w:t xml:space="preserve"> above:</w:t>
      </w:r>
      <w:bookmarkEnd w:id="64"/>
    </w:p>
    <w:p w14:paraId="0E58D4BF" w14:textId="561DD8B5" w:rsidR="00BB29AB" w:rsidRPr="00ED09F7" w:rsidRDefault="00ED09F7" w:rsidP="003A46E8">
      <w:pPr>
        <w:pStyle w:val="ListParagraph"/>
        <w:spacing w:after="60"/>
        <w:contextualSpacing w:val="0"/>
      </w:pPr>
      <m:oMath>
        <m:r>
          <w:rPr>
            <w:rFonts w:ascii="Cambria Math" w:hAnsi="Cambria Math"/>
          </w:rPr>
          <m:t>F=</m:t>
        </m:r>
        <m:sSup>
          <m:sSupPr>
            <m:ctrlPr>
              <w:rPr>
                <w:rFonts w:ascii="Cambria Math" w:hAnsi="Cambria Math"/>
                <w:i/>
              </w:rPr>
            </m:ctrlPr>
          </m:sSupPr>
          <m:e>
            <m:r>
              <w:rPr>
                <w:rFonts w:ascii="Cambria Math" w:hAnsi="Cambria Math"/>
              </w:rPr>
              <m:t>10</m:t>
            </m:r>
          </m:e>
          <m:sup>
            <m:r>
              <w:rPr>
                <w:rFonts w:ascii="Cambria Math" w:hAnsi="Cambria Math"/>
              </w:rPr>
              <m:t>-6</m:t>
            </m:r>
          </m:sup>
        </m:sSup>
        <m:d>
          <m:dPr>
            <m:ctrlPr>
              <w:rPr>
                <w:rFonts w:ascii="Cambria Math" w:hAnsi="Cambria Math"/>
                <w:i/>
              </w:rPr>
            </m:ctrlPr>
          </m:dPr>
          <m:e>
            <m:f>
              <m:fPr>
                <m:ctrlPr>
                  <w:rPr>
                    <w:rFonts w:ascii="Cambria Math" w:hAnsi="Cambria Math"/>
                    <w:i/>
                  </w:rPr>
                </m:ctrlPr>
              </m:fPr>
              <m:num>
                <m:r>
                  <w:rPr>
                    <w:rFonts w:ascii="Cambria Math" w:hAnsi="Cambria Math"/>
                  </w:rPr>
                  <m:t>227.2</m:t>
                </m:r>
                <m:d>
                  <m:dPr>
                    <m:ctrlPr>
                      <w:rPr>
                        <w:rFonts w:ascii="Cambria Math" w:hAnsi="Cambria Math"/>
                        <w:i/>
                      </w:rPr>
                    </m:ctrlPr>
                  </m:dPr>
                  <m:e>
                    <m:r>
                      <w:rPr>
                        <w:rFonts w:ascii="Cambria Math" w:hAnsi="Cambria Math"/>
                      </w:rPr>
                      <m:t>%H</m:t>
                    </m:r>
                  </m:e>
                </m:d>
                <m:r>
                  <w:rPr>
                    <w:rFonts w:ascii="Cambria Math" w:hAnsi="Cambria Math"/>
                  </w:rPr>
                  <m:t>+95.5</m:t>
                </m:r>
                <m:d>
                  <m:dPr>
                    <m:ctrlPr>
                      <w:rPr>
                        <w:rFonts w:ascii="Cambria Math" w:hAnsi="Cambria Math"/>
                        <w:i/>
                      </w:rPr>
                    </m:ctrlPr>
                  </m:dPr>
                  <m:e>
                    <m:r>
                      <w:rPr>
                        <w:rFonts w:ascii="Cambria Math" w:hAnsi="Cambria Math"/>
                      </w:rPr>
                      <m:t>%C</m:t>
                    </m:r>
                  </m:e>
                </m:d>
                <m:r>
                  <w:rPr>
                    <w:rFonts w:ascii="Cambria Math" w:hAnsi="Cambria Math"/>
                  </w:rPr>
                  <m:t>+35.6</m:t>
                </m:r>
                <m:d>
                  <m:dPr>
                    <m:ctrlPr>
                      <w:rPr>
                        <w:rFonts w:ascii="Cambria Math" w:hAnsi="Cambria Math"/>
                        <w:i/>
                      </w:rPr>
                    </m:ctrlPr>
                  </m:dPr>
                  <m:e>
                    <m:r>
                      <w:rPr>
                        <w:rFonts w:ascii="Cambria Math" w:hAnsi="Cambria Math"/>
                      </w:rPr>
                      <m:t>%S</m:t>
                    </m:r>
                  </m:e>
                </m:d>
                <m:r>
                  <w:rPr>
                    <w:rFonts w:ascii="Cambria Math" w:hAnsi="Cambria Math"/>
                  </w:rPr>
                  <m:t>+8.7</m:t>
                </m:r>
                <m:d>
                  <m:dPr>
                    <m:ctrlPr>
                      <w:rPr>
                        <w:rFonts w:ascii="Cambria Math" w:hAnsi="Cambria Math"/>
                        <w:i/>
                      </w:rPr>
                    </m:ctrlPr>
                  </m:dPr>
                  <m:e>
                    <m:r>
                      <w:rPr>
                        <w:rFonts w:ascii="Cambria Math" w:hAnsi="Cambria Math"/>
                      </w:rPr>
                      <m:t>%N</m:t>
                    </m:r>
                  </m:e>
                </m:d>
                <m:r>
                  <w:rPr>
                    <w:rFonts w:ascii="Cambria Math" w:hAnsi="Cambria Math"/>
                  </w:rPr>
                  <m:t>-28.7(%O)</m:t>
                </m:r>
              </m:num>
              <m:den>
                <m:r>
                  <w:rPr>
                    <w:rFonts w:ascii="Cambria Math" w:hAnsi="Cambria Math"/>
                  </w:rPr>
                  <m:t>GCV</m:t>
                </m:r>
              </m:den>
            </m:f>
          </m:e>
        </m:d>
        <m:r>
          <w:rPr>
            <w:rFonts w:ascii="Cambria Math" w:hAnsi="Cambria Math"/>
          </w:rPr>
          <m:t xml:space="preserve"> </m:t>
        </m:r>
        <m:d>
          <m:dPr>
            <m:ctrlPr>
              <w:rPr>
                <w:rFonts w:ascii="Cambria Math" w:hAnsi="Cambria Math"/>
                <w:i/>
              </w:rPr>
            </m:ctrlPr>
          </m:dPr>
          <m:e>
            <m:r>
              <w:rPr>
                <w:rFonts w:ascii="Cambria Math" w:hAnsi="Cambria Math"/>
              </w:rPr>
              <m:t>SI Units</m:t>
            </m:r>
          </m:e>
        </m:d>
      </m:oMath>
      <w:r w:rsidR="006E2812">
        <w:t xml:space="preserve"> </w:t>
      </w:r>
    </w:p>
    <w:p w14:paraId="6931F238" w14:textId="44F9580F" w:rsidR="00ED09F7" w:rsidRPr="00ED09F7" w:rsidRDefault="00585225" w:rsidP="003A46E8">
      <w:pPr>
        <w:pStyle w:val="ListParagraph"/>
        <w:spacing w:after="60"/>
        <w:contextualSpacing w:val="0"/>
      </w:pPr>
      <m:oMath>
        <m:sSub>
          <m:sSubPr>
            <m:ctrlPr>
              <w:rPr>
                <w:rFonts w:ascii="Cambria Math" w:hAnsi="Cambria Math"/>
                <w:i/>
              </w:rPr>
            </m:ctrlPr>
          </m:sSubPr>
          <m:e>
            <m:r>
              <w:rPr>
                <w:rFonts w:ascii="Cambria Math" w:hAnsi="Cambria Math"/>
              </w:rPr>
              <m:t>F</m:t>
            </m:r>
          </m:e>
          <m:sub>
            <m:r>
              <w:rPr>
                <w:rFonts w:ascii="Cambria Math" w:hAnsi="Cambria Math"/>
              </w:rPr>
              <m:t>c</m:t>
            </m:r>
          </m:sub>
        </m:sSub>
        <m:r>
          <w:rPr>
            <w:rFonts w:ascii="Cambria Math" w:hAnsi="Cambria Math"/>
          </w:rPr>
          <m:t>=</m:t>
        </m:r>
        <m:f>
          <m:fPr>
            <m:ctrlPr>
              <w:rPr>
                <w:rFonts w:ascii="Cambria Math" w:hAnsi="Cambria Math"/>
                <w:i/>
              </w:rPr>
            </m:ctrlPr>
          </m:fPr>
          <m:num>
            <m:r>
              <w:rPr>
                <w:rFonts w:ascii="Cambria Math" w:hAnsi="Cambria Math"/>
              </w:rPr>
              <m:t>2.0×</m:t>
            </m:r>
            <m:sSup>
              <m:sSupPr>
                <m:ctrlPr>
                  <w:rPr>
                    <w:rFonts w:ascii="Cambria Math" w:hAnsi="Cambria Math"/>
                    <w:i/>
                  </w:rPr>
                </m:ctrlPr>
              </m:sSupPr>
              <m:e>
                <m:r>
                  <w:rPr>
                    <w:rFonts w:ascii="Cambria Math" w:hAnsi="Cambria Math"/>
                  </w:rPr>
                  <m:t>10</m:t>
                </m:r>
              </m:e>
              <m:sup>
                <m:r>
                  <w:rPr>
                    <w:rFonts w:ascii="Cambria Math" w:hAnsi="Cambria Math"/>
                  </w:rPr>
                  <m:t>-5</m:t>
                </m:r>
              </m:sup>
            </m:sSup>
            <m:r>
              <w:rPr>
                <w:rFonts w:ascii="Cambria Math" w:hAnsi="Cambria Math"/>
              </w:rPr>
              <m:t>(%C)</m:t>
            </m:r>
          </m:num>
          <m:den>
            <m:r>
              <w:rPr>
                <w:rFonts w:ascii="Cambria Math" w:hAnsi="Cambria Math"/>
              </w:rPr>
              <m:t>GCV (SI Units)</m:t>
            </m:r>
          </m:den>
        </m:f>
      </m:oMath>
      <w:r w:rsidR="006E2812">
        <w:t xml:space="preserve"> </w:t>
      </w:r>
    </w:p>
    <w:p w14:paraId="69C23C30" w14:textId="5F85A906" w:rsidR="00ED09F7" w:rsidRPr="00D639EF" w:rsidRDefault="00ED09F7" w:rsidP="003A46E8">
      <w:pPr>
        <w:pStyle w:val="ListParagraph"/>
        <w:spacing w:after="60"/>
        <w:contextualSpacing w:val="0"/>
      </w:pPr>
      <m:oMath>
        <m:r>
          <w:rPr>
            <w:rFonts w:ascii="Cambria Math" w:hAnsi="Cambria Math"/>
          </w:rPr>
          <m:t>F=</m:t>
        </m:r>
        <m:sSup>
          <m:sSupPr>
            <m:ctrlPr>
              <w:rPr>
                <w:rFonts w:ascii="Cambria Math" w:hAnsi="Cambria Math"/>
                <w:i/>
              </w:rPr>
            </m:ctrlPr>
          </m:sSupPr>
          <m:e>
            <m:r>
              <w:rPr>
                <w:rFonts w:ascii="Cambria Math" w:hAnsi="Cambria Math"/>
              </w:rPr>
              <m:t>10</m:t>
            </m:r>
          </m:e>
          <m:sup>
            <m:r>
              <w:rPr>
                <w:rFonts w:ascii="Cambria Math" w:hAnsi="Cambria Math"/>
              </w:rPr>
              <m:t>-6</m:t>
            </m:r>
          </m:sup>
        </m:sSup>
        <m:d>
          <m:dPr>
            <m:ctrlPr>
              <w:rPr>
                <w:rFonts w:ascii="Cambria Math" w:hAnsi="Cambria Math"/>
                <w:i/>
              </w:rPr>
            </m:ctrlPr>
          </m:dPr>
          <m:e>
            <m:f>
              <m:fPr>
                <m:ctrlPr>
                  <w:rPr>
                    <w:rFonts w:ascii="Cambria Math" w:hAnsi="Cambria Math"/>
                    <w:i/>
                  </w:rPr>
                </m:ctrlPr>
              </m:fPr>
              <m:num>
                <m:r>
                  <w:rPr>
                    <w:rFonts w:ascii="Cambria Math" w:hAnsi="Cambria Math"/>
                  </w:rPr>
                  <m:t>3.64</m:t>
                </m:r>
                <m:d>
                  <m:dPr>
                    <m:ctrlPr>
                      <w:rPr>
                        <w:rFonts w:ascii="Cambria Math" w:hAnsi="Cambria Math"/>
                        <w:i/>
                      </w:rPr>
                    </m:ctrlPr>
                  </m:dPr>
                  <m:e>
                    <m:r>
                      <w:rPr>
                        <w:rFonts w:ascii="Cambria Math" w:hAnsi="Cambria Math"/>
                      </w:rPr>
                      <m:t>%H</m:t>
                    </m:r>
                  </m:e>
                </m:d>
                <m:r>
                  <w:rPr>
                    <w:rFonts w:ascii="Cambria Math" w:hAnsi="Cambria Math"/>
                  </w:rPr>
                  <m:t>+1.53</m:t>
                </m:r>
                <m:d>
                  <m:dPr>
                    <m:ctrlPr>
                      <w:rPr>
                        <w:rFonts w:ascii="Cambria Math" w:hAnsi="Cambria Math"/>
                        <w:i/>
                      </w:rPr>
                    </m:ctrlPr>
                  </m:dPr>
                  <m:e>
                    <m:r>
                      <w:rPr>
                        <w:rFonts w:ascii="Cambria Math" w:hAnsi="Cambria Math"/>
                      </w:rPr>
                      <m:t>%C</m:t>
                    </m:r>
                  </m:e>
                </m:d>
                <m:r>
                  <w:rPr>
                    <w:rFonts w:ascii="Cambria Math" w:hAnsi="Cambria Math"/>
                  </w:rPr>
                  <m:t>+0.57</m:t>
                </m:r>
                <m:d>
                  <m:dPr>
                    <m:ctrlPr>
                      <w:rPr>
                        <w:rFonts w:ascii="Cambria Math" w:hAnsi="Cambria Math"/>
                        <w:i/>
                      </w:rPr>
                    </m:ctrlPr>
                  </m:dPr>
                  <m:e>
                    <m:r>
                      <w:rPr>
                        <w:rFonts w:ascii="Cambria Math" w:hAnsi="Cambria Math"/>
                      </w:rPr>
                      <m:t>%S</m:t>
                    </m:r>
                  </m:e>
                </m:d>
                <m:r>
                  <w:rPr>
                    <w:rFonts w:ascii="Cambria Math" w:hAnsi="Cambria Math"/>
                  </w:rPr>
                  <m:t>+0.14</m:t>
                </m:r>
                <m:d>
                  <m:dPr>
                    <m:ctrlPr>
                      <w:rPr>
                        <w:rFonts w:ascii="Cambria Math" w:hAnsi="Cambria Math"/>
                        <w:i/>
                      </w:rPr>
                    </m:ctrlPr>
                  </m:dPr>
                  <m:e>
                    <m:r>
                      <w:rPr>
                        <w:rFonts w:ascii="Cambria Math" w:hAnsi="Cambria Math"/>
                      </w:rPr>
                      <m:t>%N</m:t>
                    </m:r>
                  </m:e>
                </m:d>
                <m:r>
                  <w:rPr>
                    <w:rFonts w:ascii="Cambria Math" w:hAnsi="Cambria Math"/>
                  </w:rPr>
                  <m:t>-0.46(%O)</m:t>
                </m:r>
              </m:num>
              <m:den>
                <m:r>
                  <w:rPr>
                    <w:rFonts w:ascii="Cambria Math" w:hAnsi="Cambria Math"/>
                  </w:rPr>
                  <m:t>GCV</m:t>
                </m:r>
              </m:den>
            </m:f>
          </m:e>
        </m:d>
        <m:r>
          <w:rPr>
            <w:rFonts w:ascii="Cambria Math" w:hAnsi="Cambria Math"/>
          </w:rPr>
          <m:t xml:space="preserve"> (English Units)</m:t>
        </m:r>
      </m:oMath>
      <w:r w:rsidR="006E2812">
        <w:t xml:space="preserve"> </w:t>
      </w:r>
    </w:p>
    <w:p w14:paraId="50F401FE" w14:textId="25B2349B" w:rsidR="00D639EF" w:rsidRPr="003C3C69" w:rsidRDefault="00585225" w:rsidP="003C3C69">
      <w:pPr>
        <w:pStyle w:val="ListParagraph"/>
        <w:spacing w:after="60"/>
        <w:contextualSpacing w:val="0"/>
      </w:pPr>
      <m:oMath>
        <m:sSub>
          <m:sSubPr>
            <m:ctrlPr>
              <w:rPr>
                <w:rFonts w:ascii="Cambria Math" w:hAnsi="Cambria Math"/>
                <w:i/>
              </w:rPr>
            </m:ctrlPr>
          </m:sSubPr>
          <m:e>
            <m:r>
              <w:rPr>
                <w:rFonts w:ascii="Cambria Math" w:hAnsi="Cambria Math"/>
              </w:rPr>
              <m:t>F</m:t>
            </m:r>
          </m:e>
          <m:sub>
            <m:r>
              <w:rPr>
                <w:rFonts w:ascii="Cambria Math" w:hAnsi="Cambria Math"/>
              </w:rPr>
              <m:t>c</m:t>
            </m:r>
          </m:sub>
        </m:sSub>
        <m:r>
          <w:rPr>
            <w:rFonts w:ascii="Cambria Math" w:hAnsi="Cambria Math"/>
          </w:rPr>
          <m:t>=</m:t>
        </m:r>
        <m:f>
          <m:fPr>
            <m:ctrlPr>
              <w:rPr>
                <w:rFonts w:ascii="Cambria Math" w:hAnsi="Cambria Math"/>
                <w:i/>
              </w:rPr>
            </m:ctrlPr>
          </m:fPr>
          <m:num>
            <m:r>
              <w:rPr>
                <w:rFonts w:ascii="Cambria Math" w:hAnsi="Cambria Math"/>
              </w:rPr>
              <m:t>20.0(%C)</m:t>
            </m:r>
          </m:num>
          <m:den>
            <m:r>
              <w:rPr>
                <w:rFonts w:ascii="Cambria Math" w:hAnsi="Cambria Math"/>
              </w:rPr>
              <m:t>GCV (SI units)</m:t>
            </m:r>
          </m:den>
        </m:f>
      </m:oMath>
      <w:r w:rsidR="006E2812">
        <w:t xml:space="preserve"> </w:t>
      </w:r>
    </w:p>
    <w:p w14:paraId="521CE18A" w14:textId="4098E797" w:rsidR="003C3C69" w:rsidRPr="003C3C69" w:rsidRDefault="00585225" w:rsidP="003C3C69">
      <w:pPr>
        <w:pStyle w:val="ListParagraph"/>
        <w:spacing w:after="60"/>
        <w:contextualSpacing w:val="0"/>
      </w:pPr>
      <m:oMath>
        <m:sSub>
          <m:sSubPr>
            <m:ctrlPr>
              <w:rPr>
                <w:rFonts w:ascii="Cambria Math" w:hAnsi="Cambria Math"/>
                <w:i/>
              </w:rPr>
            </m:ctrlPr>
          </m:sSubPr>
          <m:e>
            <m:r>
              <w:rPr>
                <w:rFonts w:ascii="Cambria Math" w:hAnsi="Cambria Math"/>
              </w:rPr>
              <m:t>F</m:t>
            </m:r>
          </m:e>
          <m:sub>
            <m:r>
              <w:rPr>
                <w:rFonts w:ascii="Cambria Math" w:hAnsi="Cambria Math"/>
              </w:rPr>
              <m:t>c</m:t>
            </m:r>
          </m:sub>
        </m:sSub>
        <m:r>
          <w:rPr>
            <w:rFonts w:ascii="Cambria Math" w:hAnsi="Cambria Math"/>
          </w:rPr>
          <m:t>=</m:t>
        </m:r>
        <m:f>
          <m:fPr>
            <m:ctrlPr>
              <w:rPr>
                <w:rFonts w:ascii="Cambria Math" w:hAnsi="Cambria Math"/>
                <w:i/>
              </w:rPr>
            </m:ctrlPr>
          </m:fPr>
          <m:num>
            <m:r>
              <w:rPr>
                <w:rFonts w:ascii="Cambria Math" w:hAnsi="Cambria Math"/>
              </w:rPr>
              <m:t>321×</m:t>
            </m:r>
            <m:sSup>
              <m:sSupPr>
                <m:ctrlPr>
                  <w:rPr>
                    <w:rFonts w:ascii="Cambria Math" w:hAnsi="Cambria Math"/>
                    <w:i/>
                  </w:rPr>
                </m:ctrlPr>
              </m:sSupPr>
              <m:e>
                <m:r>
                  <w:rPr>
                    <w:rFonts w:ascii="Cambria Math" w:hAnsi="Cambria Math"/>
                  </w:rPr>
                  <m:t>10</m:t>
                </m:r>
              </m:e>
              <m:sup>
                <m:r>
                  <w:rPr>
                    <w:rFonts w:ascii="Cambria Math" w:hAnsi="Cambria Math"/>
                  </w:rPr>
                  <m:t>3</m:t>
                </m:r>
              </m:sup>
            </m:sSup>
            <m:r>
              <w:rPr>
                <w:rFonts w:ascii="Cambria Math" w:hAnsi="Cambria Math"/>
              </w:rPr>
              <m:t>(%C)</m:t>
            </m:r>
          </m:num>
          <m:den>
            <m:r>
              <w:rPr>
                <w:rFonts w:ascii="Cambria Math" w:hAnsi="Cambria Math"/>
              </w:rPr>
              <m:t>GCV (English Units)</m:t>
            </m:r>
          </m:den>
        </m:f>
      </m:oMath>
      <w:r w:rsidR="006E2812">
        <w:t xml:space="preserve"> </w:t>
      </w:r>
    </w:p>
    <w:p w14:paraId="246352B3" w14:textId="36A8D263" w:rsidR="003C3C69" w:rsidRPr="006E2812" w:rsidRDefault="006E2812" w:rsidP="00061DE9">
      <w:pPr>
        <w:pStyle w:val="ListParagraph"/>
        <w:numPr>
          <w:ilvl w:val="0"/>
          <w:numId w:val="59"/>
        </w:numPr>
        <w:ind w:left="1080"/>
      </w:pPr>
      <w:r w:rsidRPr="00C16FF6">
        <w:rPr>
          <w:szCs w:val="22"/>
        </w:rPr>
        <w:t>H, C, S, N, and O are content by weight of hydrogen, carbon, sulfur, nitrogen, and oxygen (expressed as percent), respectively, as determined on the same basis as GCV by ultimate analysis of the fuel fired, or computed from results using ASTM method D1137-53(75), D1945-64(76), or D1946-77 (gaseous fuels) as applicable.  (These three methods are incorporated by reference-see 40 CFR 60.17.)</w:t>
      </w:r>
    </w:p>
    <w:p w14:paraId="059BFD2E" w14:textId="0893A2FF" w:rsidR="006E2812" w:rsidRPr="006E2812" w:rsidRDefault="006E2812" w:rsidP="00061DE9">
      <w:pPr>
        <w:pStyle w:val="ListParagraph"/>
        <w:numPr>
          <w:ilvl w:val="0"/>
          <w:numId w:val="59"/>
        </w:numPr>
        <w:ind w:left="1080"/>
      </w:pPr>
      <w:r w:rsidRPr="00C16FF6">
        <w:rPr>
          <w:szCs w:val="22"/>
        </w:rPr>
        <w:t>GCV is the gross calorific value (kJ/kg, Btu/lb) of the fuel combusted determined by the ASTM test method D1826-77 for gaseous fuels as applicable.  (This method is incorporated by reference-see 40 CFR 60.17.)</w:t>
      </w:r>
    </w:p>
    <w:p w14:paraId="22E0D3A0" w14:textId="781209DD" w:rsidR="006E2812" w:rsidRPr="006E2812" w:rsidRDefault="006E2812" w:rsidP="00061DE9">
      <w:pPr>
        <w:pStyle w:val="ListParagraph"/>
        <w:numPr>
          <w:ilvl w:val="0"/>
          <w:numId w:val="59"/>
        </w:numPr>
        <w:ind w:left="1080"/>
      </w:pPr>
      <w:r w:rsidRPr="00C16FF6">
        <w:rPr>
          <w:szCs w:val="22"/>
        </w:rPr>
        <w:t xml:space="preserve">For affected facilities which fire both fossil fuels and </w:t>
      </w:r>
      <w:proofErr w:type="spellStart"/>
      <w:r w:rsidRPr="00C16FF6">
        <w:rPr>
          <w:szCs w:val="22"/>
        </w:rPr>
        <w:t>non fossil</w:t>
      </w:r>
      <w:proofErr w:type="spellEnd"/>
      <w:r w:rsidRPr="00C16FF6">
        <w:rPr>
          <w:szCs w:val="22"/>
        </w:rPr>
        <w:t xml:space="preserve"> fuels, the F or Fc value shall be subject to the Administrator's approval.</w:t>
      </w:r>
    </w:p>
    <w:p w14:paraId="671162D0" w14:textId="13637DCF" w:rsidR="006E2812" w:rsidRPr="007623EE" w:rsidRDefault="006E2812" w:rsidP="00061DE9">
      <w:pPr>
        <w:pStyle w:val="ListParagraph"/>
        <w:numPr>
          <w:ilvl w:val="0"/>
          <w:numId w:val="57"/>
        </w:numPr>
        <w:spacing w:after="60"/>
        <w:contextualSpacing w:val="0"/>
      </w:pPr>
      <w:r w:rsidRPr="00C16FF6">
        <w:rPr>
          <w:szCs w:val="22"/>
        </w:rPr>
        <w:t xml:space="preserve">For affected facilities firing combinations of fossil fuels, the F or Fc factors determined by </w:t>
      </w:r>
      <w:r w:rsidRPr="007623EE">
        <w:rPr>
          <w:szCs w:val="22"/>
        </w:rPr>
        <w:t>paragraphs</w:t>
      </w:r>
      <w:r w:rsidR="00DF27F5" w:rsidRPr="007623EE">
        <w:rPr>
          <w:szCs w:val="22"/>
        </w:rPr>
        <w:t xml:space="preserve"> </w:t>
      </w:r>
      <w:r w:rsidR="00DF27F5" w:rsidRPr="007623EE">
        <w:rPr>
          <w:b/>
          <w:szCs w:val="22"/>
        </w:rPr>
        <w:fldChar w:fldCharType="begin"/>
      </w:r>
      <w:r w:rsidR="00DF27F5" w:rsidRPr="007623EE">
        <w:rPr>
          <w:b/>
          <w:szCs w:val="22"/>
        </w:rPr>
        <w:instrText xml:space="preserve"> REF _Ref519866965 \r \h  \* MERGEFORMAT </w:instrText>
      </w:r>
      <w:r w:rsidR="00DF27F5" w:rsidRPr="007623EE">
        <w:rPr>
          <w:b/>
          <w:szCs w:val="22"/>
        </w:rPr>
      </w:r>
      <w:r w:rsidR="00DF27F5" w:rsidRPr="007623EE">
        <w:rPr>
          <w:b/>
          <w:szCs w:val="22"/>
        </w:rPr>
        <w:fldChar w:fldCharType="separate"/>
      </w:r>
      <w:r w:rsidR="00D31800">
        <w:rPr>
          <w:b/>
          <w:szCs w:val="22"/>
        </w:rPr>
        <w:t>d</w:t>
      </w:r>
      <w:r w:rsidR="00DF27F5" w:rsidRPr="007623EE">
        <w:rPr>
          <w:b/>
          <w:szCs w:val="22"/>
        </w:rPr>
        <w:fldChar w:fldCharType="end"/>
      </w:r>
      <w:r w:rsidR="00DF27F5" w:rsidRPr="007623EE">
        <w:rPr>
          <w:szCs w:val="22"/>
        </w:rPr>
        <w:t xml:space="preserve"> and </w:t>
      </w:r>
      <w:r w:rsidR="00DF27F5" w:rsidRPr="007623EE">
        <w:rPr>
          <w:b/>
          <w:szCs w:val="22"/>
        </w:rPr>
        <w:fldChar w:fldCharType="begin"/>
      </w:r>
      <w:r w:rsidR="00DF27F5" w:rsidRPr="007623EE">
        <w:rPr>
          <w:b/>
          <w:szCs w:val="22"/>
        </w:rPr>
        <w:instrText xml:space="preserve"> REF _Ref520098923 \r \h  \* MERGEFORMAT </w:instrText>
      </w:r>
      <w:r w:rsidR="00DF27F5" w:rsidRPr="007623EE">
        <w:rPr>
          <w:b/>
          <w:szCs w:val="22"/>
        </w:rPr>
      </w:r>
      <w:r w:rsidR="00DF27F5" w:rsidRPr="007623EE">
        <w:rPr>
          <w:b/>
          <w:szCs w:val="22"/>
        </w:rPr>
        <w:fldChar w:fldCharType="separate"/>
      </w:r>
      <w:r w:rsidR="00D31800">
        <w:rPr>
          <w:b/>
          <w:szCs w:val="22"/>
        </w:rPr>
        <w:t>e</w:t>
      </w:r>
      <w:r w:rsidR="00DF27F5" w:rsidRPr="007623EE">
        <w:rPr>
          <w:b/>
          <w:szCs w:val="22"/>
        </w:rPr>
        <w:fldChar w:fldCharType="end"/>
      </w:r>
      <w:r w:rsidRPr="007623EE">
        <w:rPr>
          <w:szCs w:val="22"/>
        </w:rPr>
        <w:t xml:space="preserve"> shall be prorated in accordance with the applicable formula as follows:</w:t>
      </w:r>
    </w:p>
    <w:p w14:paraId="1CF2C5EC" w14:textId="31738D68" w:rsidR="006E2812" w:rsidRDefault="006E2812" w:rsidP="006E2812">
      <w:pPr>
        <w:pStyle w:val="ListParagraph"/>
        <w:tabs>
          <w:tab w:val="left" w:pos="2790"/>
        </w:tabs>
        <w:spacing w:after="60"/>
        <w:contextualSpacing w:val="0"/>
      </w:pPr>
      <m:oMath>
        <m:r>
          <w:rPr>
            <w:rFonts w:ascii="Cambria Math" w:hAnsi="Cambria Math"/>
          </w:rPr>
          <m:t>F=</m:t>
        </m:r>
        <m:nary>
          <m:naryPr>
            <m:chr m:val="∑"/>
            <m:limLoc m:val="undOvr"/>
            <m:ctrlPr>
              <w:rPr>
                <w:rFonts w:ascii="Cambria Math" w:hAnsi="Cambria Math"/>
                <w:i/>
              </w:rPr>
            </m:ctrlPr>
          </m:naryPr>
          <m:sub>
            <m:r>
              <w:rPr>
                <w:rFonts w:ascii="Cambria Math" w:hAnsi="Cambria Math"/>
              </w:rPr>
              <m:t>i=1</m:t>
            </m:r>
          </m:sub>
          <m:sup>
            <m:r>
              <w:rPr>
                <w:rFonts w:ascii="Cambria Math" w:hAnsi="Cambria Math"/>
              </w:rPr>
              <m:t>n</m:t>
            </m:r>
          </m:sup>
          <m:e>
            <m:sSub>
              <m:sSubPr>
                <m:ctrlPr>
                  <w:rPr>
                    <w:rFonts w:ascii="Cambria Math" w:hAnsi="Cambria Math"/>
                    <w:i/>
                  </w:rPr>
                </m:ctrlPr>
              </m:sSubPr>
              <m:e>
                <m:r>
                  <w:rPr>
                    <w:rFonts w:ascii="Cambria Math" w:hAnsi="Cambria Math"/>
                  </w:rPr>
                  <m:t>X</m:t>
                </m:r>
              </m:e>
              <m:sub>
                <m:r>
                  <w:rPr>
                    <w:rFonts w:ascii="Cambria Math" w:hAnsi="Cambria Math"/>
                  </w:rPr>
                  <m:t>i</m:t>
                </m:r>
              </m:sub>
            </m:sSub>
            <m:sSub>
              <m:sSubPr>
                <m:ctrlPr>
                  <w:rPr>
                    <w:rFonts w:ascii="Cambria Math" w:hAnsi="Cambria Math"/>
                    <w:i/>
                  </w:rPr>
                </m:ctrlPr>
              </m:sSubPr>
              <m:e>
                <m:r>
                  <w:rPr>
                    <w:rFonts w:ascii="Cambria Math" w:hAnsi="Cambria Math"/>
                  </w:rPr>
                  <m:t>F</m:t>
                </m:r>
              </m:e>
              <m:sub>
                <m:r>
                  <w:rPr>
                    <w:rFonts w:ascii="Cambria Math" w:hAnsi="Cambria Math"/>
                  </w:rPr>
                  <m:t>i</m:t>
                </m:r>
              </m:sub>
            </m:sSub>
          </m:e>
        </m:nary>
      </m:oMath>
      <w:r>
        <w:tab/>
        <w:t>or</w:t>
      </w:r>
      <w:r>
        <w:tab/>
      </w:r>
      <m:oMath>
        <m:sSub>
          <m:sSubPr>
            <m:ctrlPr>
              <w:rPr>
                <w:rFonts w:ascii="Cambria Math" w:hAnsi="Cambria Math"/>
                <w:i/>
              </w:rPr>
            </m:ctrlPr>
          </m:sSubPr>
          <m:e>
            <m:r>
              <w:rPr>
                <w:rFonts w:ascii="Cambria Math" w:hAnsi="Cambria Math"/>
              </w:rPr>
              <m:t>F</m:t>
            </m:r>
          </m:e>
          <m:sub>
            <m:r>
              <w:rPr>
                <w:rFonts w:ascii="Cambria Math" w:hAnsi="Cambria Math"/>
              </w:rPr>
              <m:t>c</m:t>
            </m:r>
          </m:sub>
        </m:sSub>
        <m:r>
          <w:rPr>
            <w:rFonts w:ascii="Cambria Math" w:hAnsi="Cambria Math"/>
          </w:rPr>
          <m:t>=</m:t>
        </m:r>
        <m:nary>
          <m:naryPr>
            <m:chr m:val="∑"/>
            <m:limLoc m:val="undOvr"/>
            <m:ctrlPr>
              <w:rPr>
                <w:rFonts w:ascii="Cambria Math" w:hAnsi="Cambria Math"/>
                <w:i/>
              </w:rPr>
            </m:ctrlPr>
          </m:naryPr>
          <m:sub>
            <m:r>
              <w:rPr>
                <w:rFonts w:ascii="Cambria Math" w:hAnsi="Cambria Math"/>
              </w:rPr>
              <m:t>i=1</m:t>
            </m:r>
          </m:sub>
          <m:sup>
            <m:r>
              <w:rPr>
                <w:rFonts w:ascii="Cambria Math" w:hAnsi="Cambria Math"/>
              </w:rPr>
              <m:t>n</m:t>
            </m:r>
          </m:sup>
          <m:e>
            <m:sSub>
              <m:sSubPr>
                <m:ctrlPr>
                  <w:rPr>
                    <w:rFonts w:ascii="Cambria Math" w:hAnsi="Cambria Math"/>
                    <w:i/>
                  </w:rPr>
                </m:ctrlPr>
              </m:sSubPr>
              <m:e>
                <m:r>
                  <w:rPr>
                    <w:rFonts w:ascii="Cambria Math" w:hAnsi="Cambria Math"/>
                  </w:rPr>
                  <m:t>X</m:t>
                </m:r>
              </m:e>
              <m:sub>
                <m:r>
                  <w:rPr>
                    <w:rFonts w:ascii="Cambria Math" w:hAnsi="Cambria Math"/>
                  </w:rPr>
                  <m:t>i</m:t>
                </m:r>
              </m:sub>
            </m:sSub>
            <m:sSub>
              <m:sSubPr>
                <m:ctrlPr>
                  <w:rPr>
                    <w:rFonts w:ascii="Cambria Math" w:hAnsi="Cambria Math"/>
                    <w:i/>
                  </w:rPr>
                </m:ctrlPr>
              </m:sSubPr>
              <m:e>
                <m:d>
                  <m:dPr>
                    <m:ctrlPr>
                      <w:rPr>
                        <w:rFonts w:ascii="Cambria Math" w:hAnsi="Cambria Math"/>
                        <w:i/>
                      </w:rPr>
                    </m:ctrlPr>
                  </m:dPr>
                  <m:e>
                    <m:sSub>
                      <m:sSubPr>
                        <m:ctrlPr>
                          <w:rPr>
                            <w:rFonts w:ascii="Cambria Math" w:hAnsi="Cambria Math"/>
                            <w:i/>
                          </w:rPr>
                        </m:ctrlPr>
                      </m:sSubPr>
                      <m:e>
                        <m:r>
                          <w:rPr>
                            <w:rFonts w:ascii="Cambria Math" w:hAnsi="Cambria Math"/>
                          </w:rPr>
                          <m:t>F</m:t>
                        </m:r>
                      </m:e>
                      <m:sub>
                        <m:r>
                          <w:rPr>
                            <w:rFonts w:ascii="Cambria Math" w:hAnsi="Cambria Math"/>
                          </w:rPr>
                          <m:t>c</m:t>
                        </m:r>
                      </m:sub>
                    </m:sSub>
                  </m:e>
                </m:d>
              </m:e>
              <m:sub>
                <m:r>
                  <w:rPr>
                    <w:rFonts w:ascii="Cambria Math" w:hAnsi="Cambria Math"/>
                  </w:rPr>
                  <m:t>i</m:t>
                </m:r>
              </m:sub>
            </m:sSub>
          </m:e>
        </m:nary>
      </m:oMath>
      <w:r>
        <w:t xml:space="preserve"> </w:t>
      </w:r>
    </w:p>
    <w:p w14:paraId="390495BD" w14:textId="2E558470" w:rsidR="006E2812" w:rsidRDefault="006E2812" w:rsidP="006E2812">
      <w:pPr>
        <w:pStyle w:val="ListParagraph"/>
        <w:tabs>
          <w:tab w:val="left" w:pos="2790"/>
        </w:tabs>
        <w:contextualSpacing w:val="0"/>
      </w:pPr>
      <w:r>
        <w:t>Where:</w:t>
      </w:r>
    </w:p>
    <w:p w14:paraId="21C68405" w14:textId="5E113758" w:rsidR="006E2812" w:rsidRDefault="006E2812" w:rsidP="006E2812">
      <w:pPr>
        <w:pStyle w:val="ListParagraph"/>
        <w:tabs>
          <w:tab w:val="left" w:pos="2790"/>
        </w:tabs>
        <w:contextualSpacing w:val="0"/>
        <w:rPr>
          <w:szCs w:val="22"/>
        </w:rPr>
      </w:pPr>
      <w:r w:rsidRPr="00C16FF6">
        <w:rPr>
          <w:szCs w:val="22"/>
        </w:rPr>
        <w:t>X</w:t>
      </w:r>
      <w:proofErr w:type="spellStart"/>
      <w:r w:rsidRPr="00C16FF6">
        <w:rPr>
          <w:position w:val="-4"/>
          <w:szCs w:val="22"/>
        </w:rPr>
        <w:t>i</w:t>
      </w:r>
      <w:proofErr w:type="spellEnd"/>
      <w:r w:rsidRPr="00C16FF6">
        <w:rPr>
          <w:szCs w:val="22"/>
        </w:rPr>
        <w:t xml:space="preserve"> = the fraction of total heat input derived from each type of fuel (e.g. natural gas, etc.)</w:t>
      </w:r>
    </w:p>
    <w:p w14:paraId="55850927" w14:textId="2EBF5E6F" w:rsidR="006E2812" w:rsidRPr="00A11839" w:rsidRDefault="006E2812" w:rsidP="006E2812">
      <w:pPr>
        <w:pStyle w:val="ListParagraph"/>
        <w:tabs>
          <w:tab w:val="left" w:pos="2790"/>
        </w:tabs>
        <w:contextualSpacing w:val="0"/>
        <w:rPr>
          <w:szCs w:val="22"/>
        </w:rPr>
      </w:pPr>
      <w:r w:rsidRPr="00C16FF6">
        <w:rPr>
          <w:szCs w:val="22"/>
        </w:rPr>
        <w:t>F</w:t>
      </w:r>
      <w:proofErr w:type="spellStart"/>
      <w:r w:rsidRPr="00C16FF6">
        <w:rPr>
          <w:position w:val="-4"/>
          <w:szCs w:val="22"/>
        </w:rPr>
        <w:t>i</w:t>
      </w:r>
      <w:proofErr w:type="spellEnd"/>
      <w:r w:rsidRPr="00C16FF6">
        <w:rPr>
          <w:szCs w:val="22"/>
        </w:rPr>
        <w:t xml:space="preserve">  or  (F</w:t>
      </w:r>
      <w:r w:rsidRPr="00A11839">
        <w:rPr>
          <w:position w:val="-4"/>
          <w:szCs w:val="22"/>
        </w:rPr>
        <w:t>c</w:t>
      </w:r>
      <w:r w:rsidRPr="00A11839">
        <w:rPr>
          <w:szCs w:val="22"/>
        </w:rPr>
        <w:t>)</w:t>
      </w:r>
      <w:proofErr w:type="spellStart"/>
      <w:r w:rsidRPr="00A11839">
        <w:rPr>
          <w:position w:val="-4"/>
          <w:szCs w:val="22"/>
        </w:rPr>
        <w:t>i</w:t>
      </w:r>
      <w:proofErr w:type="spellEnd"/>
      <w:r w:rsidRPr="00A11839">
        <w:rPr>
          <w:szCs w:val="22"/>
        </w:rPr>
        <w:t xml:space="preserve"> = </w:t>
      </w:r>
      <w:r w:rsidR="00DF27F5" w:rsidRPr="00A11839">
        <w:rPr>
          <w:szCs w:val="22"/>
        </w:rPr>
        <w:t>the a</w:t>
      </w:r>
      <w:r w:rsidRPr="00A11839">
        <w:rPr>
          <w:szCs w:val="22"/>
        </w:rPr>
        <w:t>pplicable F or F</w:t>
      </w:r>
      <w:r w:rsidRPr="00A11839">
        <w:rPr>
          <w:position w:val="-4"/>
          <w:szCs w:val="22"/>
        </w:rPr>
        <w:t>c</w:t>
      </w:r>
      <w:r w:rsidRPr="00A11839">
        <w:rPr>
          <w:szCs w:val="22"/>
        </w:rPr>
        <w:t xml:space="preserve"> factor for each fuel type determined in accordance with paragraphs (f)(4) and (f)(5) of this section</w:t>
      </w:r>
    </w:p>
    <w:p w14:paraId="7D2AC5DC" w14:textId="71BB8F3D" w:rsidR="006E2812" w:rsidRDefault="006E2812" w:rsidP="006E2812">
      <w:pPr>
        <w:pStyle w:val="ListParagraph"/>
        <w:tabs>
          <w:tab w:val="left" w:pos="2790"/>
        </w:tabs>
        <w:contextualSpacing w:val="0"/>
      </w:pPr>
      <w:r w:rsidRPr="00A11839">
        <w:t>n =</w:t>
      </w:r>
      <w:r w:rsidR="00DF27F5" w:rsidRPr="00A11839">
        <w:t xml:space="preserve"> the</w:t>
      </w:r>
      <w:r w:rsidRPr="00A11839">
        <w:t xml:space="preserve"> </w:t>
      </w:r>
      <w:r w:rsidR="00DF27F5" w:rsidRPr="00A11839">
        <w:t>n</w:t>
      </w:r>
      <w:r w:rsidRPr="00DF27F5">
        <w:t>umber</w:t>
      </w:r>
      <w:r>
        <w:t xml:space="preserve"> of fuels being burned in combination.</w:t>
      </w:r>
    </w:p>
    <w:p w14:paraId="74732D9C" w14:textId="5980A7B2" w:rsidR="00DF27F5" w:rsidRPr="00FB19F8" w:rsidRDefault="00DF27F5" w:rsidP="00DF27F5">
      <w:pPr>
        <w:pStyle w:val="ListParagraph"/>
        <w:tabs>
          <w:tab w:val="left" w:pos="2790"/>
        </w:tabs>
        <w:ind w:left="360"/>
        <w:contextualSpacing w:val="0"/>
      </w:pPr>
      <w:r>
        <w:t>[40 CFR 60.45(f)]</w:t>
      </w:r>
    </w:p>
    <w:bookmarkEnd w:id="49"/>
    <w:p w14:paraId="71971F39" w14:textId="31F78F1F" w:rsidR="00D416F2" w:rsidRDefault="00D416F2" w:rsidP="00D416F2">
      <w:pPr>
        <w:tabs>
          <w:tab w:val="left" w:pos="0"/>
        </w:tabs>
        <w:suppressAutoHyphens/>
        <w:spacing w:before="120" w:after="120"/>
        <w:rPr>
          <w:b/>
          <w:u w:val="single"/>
        </w:rPr>
      </w:pPr>
      <w:r w:rsidRPr="00B33C23">
        <w:rPr>
          <w:b/>
          <w:u w:val="single"/>
        </w:rPr>
        <w:t>Test Methods and Procedures</w:t>
      </w:r>
    </w:p>
    <w:p w14:paraId="04E44519" w14:textId="2399072F" w:rsidR="000C5F64" w:rsidRDefault="000C5F64" w:rsidP="005B0CC1">
      <w:pPr>
        <w:numPr>
          <w:ilvl w:val="0"/>
          <w:numId w:val="2"/>
        </w:numPr>
        <w:tabs>
          <w:tab w:val="left" w:pos="360"/>
          <w:tab w:val="num" w:pos="720"/>
        </w:tabs>
        <w:spacing w:after="120"/>
        <w:ind w:left="360" w:hanging="360"/>
        <w:rPr>
          <w:szCs w:val="22"/>
        </w:rPr>
      </w:pPr>
      <w:bookmarkStart w:id="65" w:name="_Hlk520121177"/>
      <w:r>
        <w:rPr>
          <w:szCs w:val="22"/>
          <w:u w:val="single"/>
        </w:rPr>
        <w:t>Test Methods</w:t>
      </w:r>
      <w:r w:rsidRPr="000A3E93">
        <w:rPr>
          <w:szCs w:val="22"/>
        </w:rPr>
        <w:t>.</w:t>
      </w:r>
      <w:r w:rsidRPr="00C66B90">
        <w:rPr>
          <w:szCs w:val="22"/>
        </w:rPr>
        <w:t xml:space="preserve"> </w:t>
      </w:r>
      <w:r w:rsidR="00701F14">
        <w:rPr>
          <w:szCs w:val="22"/>
        </w:rPr>
        <w:t xml:space="preserve"> </w:t>
      </w:r>
      <w:r w:rsidR="00701F14" w:rsidRPr="007623EE">
        <w:rPr>
          <w:szCs w:val="22"/>
        </w:rPr>
        <w:t>When</w:t>
      </w:r>
      <w:r w:rsidRPr="007623EE">
        <w:rPr>
          <w:szCs w:val="22"/>
        </w:rPr>
        <w:t xml:space="preserve"> </w:t>
      </w:r>
      <w:r w:rsidR="00701F14" w:rsidRPr="007623EE">
        <w:rPr>
          <w:szCs w:val="22"/>
        </w:rPr>
        <w:t>re</w:t>
      </w:r>
      <w:r w:rsidR="00701F14" w:rsidRPr="00701F14">
        <w:rPr>
          <w:szCs w:val="22"/>
        </w:rPr>
        <w:t>quired</w:t>
      </w:r>
      <w:r w:rsidR="00701F14" w:rsidRPr="00C16FF6">
        <w:rPr>
          <w:szCs w:val="22"/>
        </w:rPr>
        <w:t xml:space="preserve"> tests shall be performed in accordance with the following reference methods.</w:t>
      </w:r>
      <w:bookmarkEnd w:id="65"/>
    </w:p>
    <w:tbl>
      <w:tblPr>
        <w:tblW w:w="9468" w:type="dxa"/>
        <w:tblInd w:w="432" w:type="dxa"/>
        <w:tblBorders>
          <w:top w:val="single" w:sz="8" w:space="0" w:color="auto"/>
          <w:left w:val="single" w:sz="8" w:space="0" w:color="auto"/>
          <w:bottom w:val="single" w:sz="8" w:space="0" w:color="auto"/>
          <w:right w:val="single" w:sz="8" w:space="0" w:color="auto"/>
          <w:insideH w:val="single" w:sz="4" w:space="0" w:color="auto"/>
          <w:insideV w:val="single" w:sz="8" w:space="0" w:color="auto"/>
        </w:tblBorders>
        <w:tblLayout w:type="fixed"/>
        <w:tblCellMar>
          <w:top w:w="43" w:type="dxa"/>
          <w:left w:w="72" w:type="dxa"/>
          <w:bottom w:w="43" w:type="dxa"/>
          <w:right w:w="72" w:type="dxa"/>
        </w:tblCellMar>
        <w:tblLook w:val="0000" w:firstRow="0" w:lastRow="0" w:firstColumn="0" w:lastColumn="0" w:noHBand="0" w:noVBand="0"/>
      </w:tblPr>
      <w:tblGrid>
        <w:gridCol w:w="1224"/>
        <w:gridCol w:w="8244"/>
      </w:tblGrid>
      <w:tr w:rsidR="000C5F64" w:rsidRPr="00B41709" w14:paraId="4CE9F7E5" w14:textId="77777777" w:rsidTr="00E07D22">
        <w:trPr>
          <w:tblHeader/>
        </w:trPr>
        <w:tc>
          <w:tcPr>
            <w:tcW w:w="1224" w:type="dxa"/>
            <w:tcBorders>
              <w:top w:val="single" w:sz="12" w:space="0" w:color="auto"/>
              <w:left w:val="single" w:sz="12" w:space="0" w:color="auto"/>
              <w:bottom w:val="single" w:sz="12" w:space="0" w:color="auto"/>
            </w:tcBorders>
          </w:tcPr>
          <w:p w14:paraId="443B94DE" w14:textId="77777777" w:rsidR="000C5F64" w:rsidRPr="00B41709" w:rsidRDefault="000C5F64" w:rsidP="00E07D22">
            <w:pPr>
              <w:jc w:val="center"/>
              <w:rPr>
                <w:b/>
              </w:rPr>
            </w:pPr>
            <w:bookmarkStart w:id="66" w:name="_Hlk520121226"/>
            <w:r w:rsidRPr="00B41709">
              <w:rPr>
                <w:b/>
              </w:rPr>
              <w:t>Method</w:t>
            </w:r>
          </w:p>
        </w:tc>
        <w:tc>
          <w:tcPr>
            <w:tcW w:w="8244" w:type="dxa"/>
            <w:tcBorders>
              <w:top w:val="single" w:sz="12" w:space="0" w:color="auto"/>
              <w:bottom w:val="single" w:sz="12" w:space="0" w:color="auto"/>
              <w:right w:val="single" w:sz="12" w:space="0" w:color="auto"/>
            </w:tcBorders>
          </w:tcPr>
          <w:p w14:paraId="3CCAD8BF" w14:textId="77777777" w:rsidR="000C5F64" w:rsidRPr="00B41709" w:rsidRDefault="000C5F64" w:rsidP="00E07D22">
            <w:pPr>
              <w:rPr>
                <w:b/>
              </w:rPr>
            </w:pPr>
            <w:r w:rsidRPr="00B41709">
              <w:rPr>
                <w:b/>
              </w:rPr>
              <w:t>Description of Method and Comments</w:t>
            </w:r>
          </w:p>
        </w:tc>
      </w:tr>
      <w:tr w:rsidR="00701F14" w:rsidRPr="006561AD" w14:paraId="4B8A23C7" w14:textId="77777777" w:rsidTr="002F21F8">
        <w:tc>
          <w:tcPr>
            <w:tcW w:w="1224" w:type="dxa"/>
            <w:tcBorders>
              <w:top w:val="single" w:sz="12" w:space="0" w:color="auto"/>
              <w:left w:val="single" w:sz="12" w:space="0" w:color="auto"/>
            </w:tcBorders>
            <w:vAlign w:val="center"/>
          </w:tcPr>
          <w:p w14:paraId="46D7E43B" w14:textId="58E14873" w:rsidR="00701F14" w:rsidRPr="006561AD" w:rsidRDefault="00701F14" w:rsidP="00701F14">
            <w:pPr>
              <w:jc w:val="center"/>
              <w:rPr>
                <w:highlight w:val="yellow"/>
              </w:rPr>
            </w:pPr>
            <w:r w:rsidRPr="00C16FF6">
              <w:rPr>
                <w:szCs w:val="22"/>
              </w:rPr>
              <w:t>1-4</w:t>
            </w:r>
          </w:p>
        </w:tc>
        <w:tc>
          <w:tcPr>
            <w:tcW w:w="8244" w:type="dxa"/>
            <w:tcBorders>
              <w:top w:val="single" w:sz="12" w:space="0" w:color="auto"/>
              <w:right w:val="single" w:sz="12" w:space="0" w:color="auto"/>
            </w:tcBorders>
            <w:vAlign w:val="center"/>
          </w:tcPr>
          <w:p w14:paraId="635B95AE" w14:textId="55A53E71" w:rsidR="00701F14" w:rsidRPr="006561AD" w:rsidRDefault="00701F14" w:rsidP="00701F14">
            <w:pPr>
              <w:rPr>
                <w:highlight w:val="yellow"/>
              </w:rPr>
            </w:pPr>
            <w:r w:rsidRPr="00C16FF6">
              <w:rPr>
                <w:szCs w:val="22"/>
              </w:rPr>
              <w:t>Traverse Points, Velocity and Flow Rate, Gas Analysis, and Moisture Content</w:t>
            </w:r>
          </w:p>
        </w:tc>
      </w:tr>
      <w:tr w:rsidR="00701F14" w:rsidRPr="006561AD" w14:paraId="180384A9" w14:textId="77777777" w:rsidTr="002F21F8">
        <w:tc>
          <w:tcPr>
            <w:tcW w:w="1224" w:type="dxa"/>
            <w:tcBorders>
              <w:left w:val="single" w:sz="12" w:space="0" w:color="auto"/>
            </w:tcBorders>
            <w:vAlign w:val="center"/>
          </w:tcPr>
          <w:p w14:paraId="0D8B74E5" w14:textId="3F5946A6" w:rsidR="00701F14" w:rsidRPr="006561AD" w:rsidRDefault="00701F14" w:rsidP="00701F14">
            <w:pPr>
              <w:spacing w:before="40" w:after="40"/>
              <w:jc w:val="center"/>
              <w:rPr>
                <w:highlight w:val="yellow"/>
              </w:rPr>
            </w:pPr>
            <w:r w:rsidRPr="00C16FF6">
              <w:rPr>
                <w:szCs w:val="22"/>
              </w:rPr>
              <w:t>3, 3A, 3B</w:t>
            </w:r>
          </w:p>
        </w:tc>
        <w:tc>
          <w:tcPr>
            <w:tcW w:w="8244" w:type="dxa"/>
            <w:tcBorders>
              <w:right w:val="single" w:sz="12" w:space="0" w:color="auto"/>
            </w:tcBorders>
            <w:vAlign w:val="center"/>
          </w:tcPr>
          <w:p w14:paraId="3A102260" w14:textId="5EF820B9" w:rsidR="00701F14" w:rsidRPr="006561AD" w:rsidRDefault="00701F14" w:rsidP="00701F14">
            <w:pPr>
              <w:spacing w:before="40" w:after="40"/>
              <w:jc w:val="both"/>
              <w:rPr>
                <w:highlight w:val="yellow"/>
              </w:rPr>
            </w:pPr>
            <w:r w:rsidRPr="00C16FF6">
              <w:rPr>
                <w:bCs/>
                <w:szCs w:val="22"/>
              </w:rPr>
              <w:t>Determination of Oxygen and Carbon Dioxide Concentrations in Emissions from Stationary Sources</w:t>
            </w:r>
          </w:p>
        </w:tc>
      </w:tr>
      <w:tr w:rsidR="00701F14" w:rsidRPr="006561AD" w14:paraId="4DFBA44F" w14:textId="77777777" w:rsidTr="002F21F8">
        <w:tc>
          <w:tcPr>
            <w:tcW w:w="1224" w:type="dxa"/>
            <w:tcBorders>
              <w:left w:val="single" w:sz="12" w:space="0" w:color="auto"/>
            </w:tcBorders>
            <w:vAlign w:val="center"/>
          </w:tcPr>
          <w:p w14:paraId="5A04FB52" w14:textId="700C51EA" w:rsidR="00701F14" w:rsidRPr="006561AD" w:rsidRDefault="00701F14" w:rsidP="00701F14">
            <w:pPr>
              <w:jc w:val="center"/>
              <w:rPr>
                <w:highlight w:val="yellow"/>
              </w:rPr>
            </w:pPr>
            <w:r w:rsidRPr="00C16FF6">
              <w:rPr>
                <w:szCs w:val="22"/>
              </w:rPr>
              <w:t>5, 5B, 17</w:t>
            </w:r>
          </w:p>
        </w:tc>
        <w:tc>
          <w:tcPr>
            <w:tcW w:w="8244" w:type="dxa"/>
            <w:tcBorders>
              <w:right w:val="single" w:sz="12" w:space="0" w:color="auto"/>
            </w:tcBorders>
            <w:vAlign w:val="center"/>
          </w:tcPr>
          <w:p w14:paraId="0C2A4DE9" w14:textId="23AF6FC0" w:rsidR="00701F14" w:rsidRPr="006561AD" w:rsidRDefault="00701F14" w:rsidP="00701F14">
            <w:pPr>
              <w:rPr>
                <w:highlight w:val="yellow"/>
              </w:rPr>
            </w:pPr>
            <w:r w:rsidRPr="00C16FF6">
              <w:rPr>
                <w:szCs w:val="22"/>
              </w:rPr>
              <w:t>Method for Determining Particulate Matter Emissions (All PM is assumed to be PM</w:t>
            </w:r>
            <w:r w:rsidRPr="00C16FF6">
              <w:rPr>
                <w:szCs w:val="22"/>
                <w:vertAlign w:val="subscript"/>
              </w:rPr>
              <w:t>10</w:t>
            </w:r>
            <w:r w:rsidRPr="00C16FF6">
              <w:rPr>
                <w:szCs w:val="22"/>
              </w:rPr>
              <w:t>.)</w:t>
            </w:r>
          </w:p>
        </w:tc>
      </w:tr>
      <w:tr w:rsidR="00701F14" w:rsidRPr="006561AD" w14:paraId="312B8AE5" w14:textId="77777777" w:rsidTr="002F21F8">
        <w:tc>
          <w:tcPr>
            <w:tcW w:w="1224" w:type="dxa"/>
            <w:tcBorders>
              <w:left w:val="single" w:sz="12" w:space="0" w:color="auto"/>
            </w:tcBorders>
            <w:vAlign w:val="center"/>
          </w:tcPr>
          <w:p w14:paraId="49DB3B2C" w14:textId="1C5EE867" w:rsidR="00701F14" w:rsidRPr="006561AD" w:rsidRDefault="00701F14" w:rsidP="00701F14">
            <w:pPr>
              <w:jc w:val="center"/>
              <w:rPr>
                <w:highlight w:val="yellow"/>
              </w:rPr>
            </w:pPr>
            <w:r w:rsidRPr="00C16FF6">
              <w:rPr>
                <w:szCs w:val="22"/>
              </w:rPr>
              <w:t>6, 6A, 6B, 6C</w:t>
            </w:r>
          </w:p>
        </w:tc>
        <w:tc>
          <w:tcPr>
            <w:tcW w:w="8244" w:type="dxa"/>
            <w:tcBorders>
              <w:right w:val="single" w:sz="12" w:space="0" w:color="auto"/>
            </w:tcBorders>
            <w:vAlign w:val="center"/>
          </w:tcPr>
          <w:p w14:paraId="7A79E3F8" w14:textId="00066E1F" w:rsidR="00701F14" w:rsidRPr="006561AD" w:rsidRDefault="00701F14" w:rsidP="00701F14">
            <w:pPr>
              <w:rPr>
                <w:highlight w:val="yellow"/>
              </w:rPr>
            </w:pPr>
            <w:r w:rsidRPr="00C16FF6">
              <w:rPr>
                <w:szCs w:val="22"/>
              </w:rPr>
              <w:t>Determination of Sulfur Dioxide Emissions from Stationary Sources</w:t>
            </w:r>
          </w:p>
        </w:tc>
      </w:tr>
      <w:tr w:rsidR="00701F14" w:rsidRPr="006561AD" w14:paraId="0482C629" w14:textId="77777777" w:rsidTr="002F21F8">
        <w:tc>
          <w:tcPr>
            <w:tcW w:w="1224" w:type="dxa"/>
            <w:tcBorders>
              <w:left w:val="single" w:sz="12" w:space="0" w:color="auto"/>
            </w:tcBorders>
            <w:vAlign w:val="center"/>
          </w:tcPr>
          <w:p w14:paraId="6E7C38F2" w14:textId="11BB3F4E" w:rsidR="00701F14" w:rsidRPr="006561AD" w:rsidRDefault="00701F14" w:rsidP="00701F14">
            <w:pPr>
              <w:jc w:val="center"/>
              <w:rPr>
                <w:highlight w:val="yellow"/>
              </w:rPr>
            </w:pPr>
            <w:r w:rsidRPr="00C16FF6">
              <w:rPr>
                <w:szCs w:val="22"/>
              </w:rPr>
              <w:t>7, 7A, 7C, 7D, 7E</w:t>
            </w:r>
          </w:p>
        </w:tc>
        <w:tc>
          <w:tcPr>
            <w:tcW w:w="8244" w:type="dxa"/>
            <w:tcBorders>
              <w:right w:val="single" w:sz="12" w:space="0" w:color="auto"/>
            </w:tcBorders>
            <w:vAlign w:val="center"/>
          </w:tcPr>
          <w:p w14:paraId="098D159C" w14:textId="577854F9" w:rsidR="00701F14" w:rsidRPr="006561AD" w:rsidRDefault="00701F14" w:rsidP="00701F14">
            <w:pPr>
              <w:rPr>
                <w:highlight w:val="yellow"/>
              </w:rPr>
            </w:pPr>
            <w:r w:rsidRPr="00C16FF6">
              <w:rPr>
                <w:szCs w:val="22"/>
              </w:rPr>
              <w:t>Determination of Nitrogen Oxide Emissions from Stationary Sources</w:t>
            </w:r>
          </w:p>
        </w:tc>
      </w:tr>
      <w:tr w:rsidR="00701F14" w:rsidRPr="006561AD" w14:paraId="0D3D9360" w14:textId="77777777" w:rsidTr="002F21F8">
        <w:trPr>
          <w:trHeight w:val="208"/>
        </w:trPr>
        <w:tc>
          <w:tcPr>
            <w:tcW w:w="1224" w:type="dxa"/>
            <w:tcBorders>
              <w:left w:val="single" w:sz="12" w:space="0" w:color="auto"/>
            </w:tcBorders>
            <w:vAlign w:val="center"/>
          </w:tcPr>
          <w:p w14:paraId="27F8C71F" w14:textId="3E60C073" w:rsidR="00701F14" w:rsidRPr="006561AD" w:rsidRDefault="00701F14" w:rsidP="00701F14">
            <w:pPr>
              <w:jc w:val="center"/>
              <w:rPr>
                <w:highlight w:val="yellow"/>
              </w:rPr>
            </w:pPr>
            <w:r w:rsidRPr="00C16FF6">
              <w:rPr>
                <w:szCs w:val="22"/>
              </w:rPr>
              <w:t>9</w:t>
            </w:r>
          </w:p>
        </w:tc>
        <w:tc>
          <w:tcPr>
            <w:tcW w:w="8244" w:type="dxa"/>
            <w:tcBorders>
              <w:right w:val="single" w:sz="12" w:space="0" w:color="auto"/>
            </w:tcBorders>
            <w:vAlign w:val="center"/>
          </w:tcPr>
          <w:p w14:paraId="0DFBBAE5" w14:textId="20C3C3EF" w:rsidR="00701F14" w:rsidRPr="006561AD" w:rsidRDefault="00701F14" w:rsidP="00701F14">
            <w:pPr>
              <w:autoSpaceDE w:val="0"/>
              <w:autoSpaceDN w:val="0"/>
              <w:adjustRightInd w:val="0"/>
              <w:rPr>
                <w:highlight w:val="yellow"/>
              </w:rPr>
            </w:pPr>
            <w:r w:rsidRPr="00C16FF6">
              <w:rPr>
                <w:szCs w:val="22"/>
              </w:rPr>
              <w:t>Visual Determination of the Opacity of Emissions from Stationary Sources</w:t>
            </w:r>
          </w:p>
        </w:tc>
      </w:tr>
      <w:tr w:rsidR="00701F14" w:rsidRPr="006561AD" w14:paraId="57E9FC04" w14:textId="77777777" w:rsidTr="002F21F8">
        <w:trPr>
          <w:trHeight w:val="737"/>
        </w:trPr>
        <w:tc>
          <w:tcPr>
            <w:tcW w:w="1224" w:type="dxa"/>
            <w:tcBorders>
              <w:left w:val="single" w:sz="12" w:space="0" w:color="auto"/>
            </w:tcBorders>
            <w:vAlign w:val="center"/>
          </w:tcPr>
          <w:p w14:paraId="0E4B757D" w14:textId="11407E98" w:rsidR="00701F14" w:rsidRPr="006561AD" w:rsidRDefault="00701F14" w:rsidP="00701F14">
            <w:pPr>
              <w:jc w:val="center"/>
              <w:rPr>
                <w:highlight w:val="yellow"/>
              </w:rPr>
            </w:pPr>
            <w:r w:rsidRPr="00C16FF6">
              <w:rPr>
                <w:szCs w:val="22"/>
              </w:rPr>
              <w:t>19</w:t>
            </w:r>
          </w:p>
        </w:tc>
        <w:tc>
          <w:tcPr>
            <w:tcW w:w="8244" w:type="dxa"/>
            <w:tcBorders>
              <w:right w:val="single" w:sz="12" w:space="0" w:color="auto"/>
            </w:tcBorders>
            <w:vAlign w:val="center"/>
          </w:tcPr>
          <w:p w14:paraId="7FE6E4F1" w14:textId="72454DBB" w:rsidR="00701F14" w:rsidRPr="006561AD" w:rsidRDefault="00701F14" w:rsidP="00701F14">
            <w:pPr>
              <w:rPr>
                <w:highlight w:val="yellow"/>
              </w:rPr>
            </w:pPr>
            <w:r w:rsidRPr="00C16FF6">
              <w:rPr>
                <w:szCs w:val="22"/>
              </w:rPr>
              <w:t>Determination of Sulfur Dioxide Removal Efficiency and Particulate Matter, Sulfur Dioxide, and Nitrogen Oxides Emission Rates (Optional F-factor method may be used to determine flow rate and gas analysis to calculate mass emissions in lieu of Methods 1-4.)</w:t>
            </w:r>
          </w:p>
        </w:tc>
      </w:tr>
      <w:tr w:rsidR="00701F14" w:rsidRPr="00B41709" w14:paraId="608F650B" w14:textId="77777777" w:rsidTr="002F21F8">
        <w:trPr>
          <w:trHeight w:val="154"/>
        </w:trPr>
        <w:tc>
          <w:tcPr>
            <w:tcW w:w="1224" w:type="dxa"/>
            <w:tcBorders>
              <w:left w:val="single" w:sz="12" w:space="0" w:color="auto"/>
              <w:bottom w:val="single" w:sz="12" w:space="0" w:color="auto"/>
            </w:tcBorders>
            <w:vAlign w:val="center"/>
          </w:tcPr>
          <w:p w14:paraId="369F1BB4" w14:textId="67C3E7D5" w:rsidR="00701F14" w:rsidRPr="006561AD" w:rsidRDefault="00701F14" w:rsidP="00701F14">
            <w:pPr>
              <w:spacing w:before="40" w:after="40"/>
              <w:jc w:val="center"/>
              <w:rPr>
                <w:highlight w:val="yellow"/>
              </w:rPr>
            </w:pPr>
            <w:r w:rsidRPr="00C16FF6">
              <w:rPr>
                <w:szCs w:val="22"/>
              </w:rPr>
              <w:t>20</w:t>
            </w:r>
          </w:p>
        </w:tc>
        <w:tc>
          <w:tcPr>
            <w:tcW w:w="8244" w:type="dxa"/>
            <w:tcBorders>
              <w:bottom w:val="single" w:sz="12" w:space="0" w:color="auto"/>
              <w:right w:val="single" w:sz="12" w:space="0" w:color="auto"/>
            </w:tcBorders>
            <w:vAlign w:val="center"/>
          </w:tcPr>
          <w:p w14:paraId="10F6A11C" w14:textId="61A1BB9B" w:rsidR="00701F14" w:rsidRDefault="00701F14" w:rsidP="00701F14">
            <w:pPr>
              <w:spacing w:before="40" w:after="40"/>
              <w:jc w:val="both"/>
            </w:pPr>
            <w:r w:rsidRPr="00C16FF6">
              <w:rPr>
                <w:bCs/>
                <w:szCs w:val="22"/>
              </w:rPr>
              <w:t>Determination of Nitrogen Oxides, Sulfur Dioxide and Diluent Emissions from Stationary Gas Turbines</w:t>
            </w:r>
          </w:p>
        </w:tc>
      </w:tr>
    </w:tbl>
    <w:bookmarkEnd w:id="66"/>
    <w:p w14:paraId="782447D6" w14:textId="5EF1CF08" w:rsidR="000C5F64" w:rsidRDefault="000C5F64" w:rsidP="000C5F64">
      <w:pPr>
        <w:tabs>
          <w:tab w:val="left" w:pos="-1440"/>
          <w:tab w:val="left" w:pos="-720"/>
          <w:tab w:val="left" w:pos="36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pacing w:after="120"/>
        <w:ind w:left="360" w:hanging="360"/>
        <w:rPr>
          <w:szCs w:val="22"/>
        </w:rPr>
      </w:pPr>
      <w:r>
        <w:rPr>
          <w:szCs w:val="22"/>
        </w:rPr>
        <w:tab/>
      </w:r>
      <w:bookmarkStart w:id="67" w:name="_Hlk520121251"/>
      <w:r w:rsidRPr="00845DA5">
        <w:rPr>
          <w:szCs w:val="22"/>
        </w:rPr>
        <w:t>The above methods are described in 40 CFR 60, Appendix A, and adopted by reference in Rule 62-204.800, F.A.C.</w:t>
      </w:r>
      <w:r>
        <w:rPr>
          <w:szCs w:val="22"/>
        </w:rPr>
        <w:t xml:space="preserve">  No other methods may be used unless prior written approval is received from the Department.</w:t>
      </w:r>
      <w:r w:rsidRPr="00D416F2">
        <w:rPr>
          <w:szCs w:val="22"/>
        </w:rPr>
        <w:t xml:space="preserve"> </w:t>
      </w:r>
      <w:r>
        <w:rPr>
          <w:szCs w:val="22"/>
        </w:rPr>
        <w:t xml:space="preserve"> </w:t>
      </w:r>
      <w:r w:rsidR="00CC4BF3" w:rsidRPr="00C16FF6">
        <w:rPr>
          <w:szCs w:val="22"/>
        </w:rPr>
        <w:t xml:space="preserve">[Rule </w:t>
      </w:r>
      <w:r w:rsidR="00CC4BF3" w:rsidRPr="002A679B">
        <w:rPr>
          <w:szCs w:val="22"/>
        </w:rPr>
        <w:t>62-204.800, F.A.</w:t>
      </w:r>
      <w:r w:rsidR="00CC4BF3" w:rsidRPr="00C16FF6">
        <w:rPr>
          <w:szCs w:val="22"/>
        </w:rPr>
        <w:t>C.]</w:t>
      </w:r>
      <w:bookmarkEnd w:id="67"/>
    </w:p>
    <w:p w14:paraId="3E67DF68" w14:textId="692F65E2" w:rsidR="0099606F" w:rsidRPr="003B2922" w:rsidRDefault="00E22BB5" w:rsidP="005B0CC1">
      <w:pPr>
        <w:numPr>
          <w:ilvl w:val="0"/>
          <w:numId w:val="2"/>
        </w:numPr>
        <w:tabs>
          <w:tab w:val="left" w:pos="360"/>
          <w:tab w:val="left" w:pos="720"/>
          <w:tab w:val="num" w:pos="1080"/>
        </w:tabs>
        <w:spacing w:after="120"/>
        <w:ind w:left="360" w:hanging="360"/>
        <w:rPr>
          <w:szCs w:val="22"/>
        </w:rPr>
      </w:pPr>
      <w:bookmarkStart w:id="68" w:name="_Hlk523218300"/>
      <w:r w:rsidRPr="00C16FF6">
        <w:rPr>
          <w:szCs w:val="22"/>
          <w:u w:val="single"/>
        </w:rPr>
        <w:t>Annual</w:t>
      </w:r>
      <w:r w:rsidRPr="00C16FF6">
        <w:rPr>
          <w:b/>
          <w:szCs w:val="22"/>
          <w:u w:val="single"/>
        </w:rPr>
        <w:t xml:space="preserve"> </w:t>
      </w:r>
      <w:r w:rsidRPr="00C16FF6">
        <w:rPr>
          <w:szCs w:val="22"/>
          <w:u w:val="single"/>
        </w:rPr>
        <w:t>Compliance Tests</w:t>
      </w:r>
      <w:r w:rsidRPr="00C16FF6">
        <w:rPr>
          <w:szCs w:val="22"/>
        </w:rPr>
        <w:t xml:space="preserve">.  During each </w:t>
      </w:r>
      <w:r w:rsidRPr="00DD7EF4">
        <w:rPr>
          <w:szCs w:val="22"/>
        </w:rPr>
        <w:t xml:space="preserve">calendar year, each EU shall be tested to demonstrate compliance with the emissions standards for </w:t>
      </w:r>
      <w:r w:rsidRPr="007623EE">
        <w:rPr>
          <w:caps/>
          <w:szCs w:val="22"/>
        </w:rPr>
        <w:t>PM</w:t>
      </w:r>
      <w:r w:rsidRPr="007623EE">
        <w:rPr>
          <w:szCs w:val="22"/>
        </w:rPr>
        <w:t>,</w:t>
      </w:r>
      <w:r w:rsidRPr="007623EE">
        <w:rPr>
          <w:caps/>
          <w:szCs w:val="22"/>
        </w:rPr>
        <w:t xml:space="preserve"> ve </w:t>
      </w:r>
      <w:r w:rsidRPr="007623EE">
        <w:rPr>
          <w:szCs w:val="22"/>
        </w:rPr>
        <w:t xml:space="preserve">(except as provided in Specific Condition </w:t>
      </w:r>
      <w:r w:rsidR="000223E0" w:rsidRPr="007623EE">
        <w:rPr>
          <w:b/>
          <w:szCs w:val="22"/>
        </w:rPr>
        <w:fldChar w:fldCharType="begin"/>
      </w:r>
      <w:r w:rsidR="000223E0" w:rsidRPr="007623EE">
        <w:rPr>
          <w:b/>
          <w:szCs w:val="22"/>
        </w:rPr>
        <w:instrText xml:space="preserve"> REF _Ref504048687 \r \h  \* MERGEFORMAT </w:instrText>
      </w:r>
      <w:r w:rsidR="000223E0" w:rsidRPr="007623EE">
        <w:rPr>
          <w:b/>
          <w:szCs w:val="22"/>
        </w:rPr>
      </w:r>
      <w:r w:rsidR="000223E0" w:rsidRPr="007623EE">
        <w:rPr>
          <w:b/>
          <w:szCs w:val="22"/>
        </w:rPr>
        <w:fldChar w:fldCharType="separate"/>
      </w:r>
      <w:r w:rsidR="00D31800">
        <w:rPr>
          <w:b/>
          <w:szCs w:val="22"/>
        </w:rPr>
        <w:t>A.18</w:t>
      </w:r>
      <w:r w:rsidR="000223E0" w:rsidRPr="007623EE">
        <w:rPr>
          <w:b/>
          <w:szCs w:val="22"/>
        </w:rPr>
        <w:fldChar w:fldCharType="end"/>
      </w:r>
      <w:r w:rsidRPr="007623EE">
        <w:rPr>
          <w:szCs w:val="22"/>
        </w:rPr>
        <w:t>) and SO</w:t>
      </w:r>
      <w:r w:rsidRPr="007623EE">
        <w:rPr>
          <w:szCs w:val="22"/>
          <w:vertAlign w:val="subscript"/>
        </w:rPr>
        <w:t>2</w:t>
      </w:r>
      <w:r w:rsidRPr="007623EE">
        <w:rPr>
          <w:szCs w:val="22"/>
        </w:rPr>
        <w:t xml:space="preserve"> (except as provided in Specific Condition </w:t>
      </w:r>
      <w:r w:rsidR="000223E0" w:rsidRPr="007623EE">
        <w:rPr>
          <w:b/>
          <w:szCs w:val="22"/>
        </w:rPr>
        <w:fldChar w:fldCharType="begin"/>
      </w:r>
      <w:r w:rsidR="000223E0" w:rsidRPr="007623EE">
        <w:rPr>
          <w:b/>
          <w:szCs w:val="22"/>
        </w:rPr>
        <w:instrText xml:space="preserve"> REF _Ref504049050 \r \h  \* MERGEFORMAT </w:instrText>
      </w:r>
      <w:r w:rsidR="000223E0" w:rsidRPr="007623EE">
        <w:rPr>
          <w:b/>
          <w:szCs w:val="22"/>
        </w:rPr>
      </w:r>
      <w:r w:rsidR="000223E0" w:rsidRPr="007623EE">
        <w:rPr>
          <w:b/>
          <w:szCs w:val="22"/>
        </w:rPr>
        <w:fldChar w:fldCharType="separate"/>
      </w:r>
      <w:r w:rsidR="00D31800">
        <w:rPr>
          <w:b/>
          <w:szCs w:val="22"/>
        </w:rPr>
        <w:t>A.35</w:t>
      </w:r>
      <w:r w:rsidR="000223E0" w:rsidRPr="007623EE">
        <w:rPr>
          <w:b/>
          <w:szCs w:val="22"/>
        </w:rPr>
        <w:fldChar w:fldCharType="end"/>
      </w:r>
      <w:r w:rsidRPr="007623EE">
        <w:rPr>
          <w:szCs w:val="22"/>
        </w:rPr>
        <w:t xml:space="preserve">).  Annual compliance tests for </w:t>
      </w:r>
      <w:r w:rsidR="006879D7" w:rsidRPr="007623EE">
        <w:rPr>
          <w:szCs w:val="22"/>
        </w:rPr>
        <w:t>these pollutants</w:t>
      </w:r>
      <w:r w:rsidRPr="007623EE">
        <w:rPr>
          <w:szCs w:val="22"/>
        </w:rPr>
        <w:t xml:space="preserve"> shall be performed on each unit that burns oil for 400 hours or more during the calendar year.  Unless specifically requested by the Compliance Authority pursuant to Rule 62-297.310(7)(b), F.A.C., periodic opacity tests are not required when firing natural gas.  [Rule 62-297.310(</w:t>
      </w:r>
      <w:r w:rsidR="00E25198" w:rsidRPr="007623EE">
        <w:rPr>
          <w:szCs w:val="22"/>
        </w:rPr>
        <w:t>8</w:t>
      </w:r>
      <w:r w:rsidRPr="007623EE">
        <w:rPr>
          <w:szCs w:val="22"/>
        </w:rPr>
        <w:t>)(a), F.A.C.]</w:t>
      </w:r>
    </w:p>
    <w:p w14:paraId="6A8590B7" w14:textId="0F48E301" w:rsidR="00E22BB5" w:rsidRPr="007623EE" w:rsidRDefault="00E22BB5" w:rsidP="008E10F7">
      <w:pPr>
        <w:widowControl w:val="0"/>
        <w:numPr>
          <w:ilvl w:val="0"/>
          <w:numId w:val="2"/>
        </w:numPr>
        <w:tabs>
          <w:tab w:val="left" w:pos="360"/>
          <w:tab w:val="left" w:pos="720"/>
          <w:tab w:val="left" w:pos="1080"/>
          <w:tab w:val="left" w:pos="1440"/>
          <w:tab w:val="right" w:pos="10080"/>
        </w:tabs>
        <w:spacing w:after="120"/>
        <w:ind w:left="360" w:hanging="360"/>
      </w:pPr>
      <w:bookmarkStart w:id="69" w:name="_Hlk520121368"/>
      <w:bookmarkEnd w:id="68"/>
      <w:r w:rsidRPr="00C16FF6">
        <w:rPr>
          <w:szCs w:val="22"/>
          <w:u w:val="single"/>
        </w:rPr>
        <w:t>Compliance Tests Prior To Renewal</w:t>
      </w:r>
      <w:r w:rsidRPr="00C16FF6">
        <w:rPr>
          <w:szCs w:val="22"/>
        </w:rPr>
        <w:t xml:space="preserve">.  </w:t>
      </w:r>
      <w:r w:rsidR="008E10F7" w:rsidRPr="007623EE">
        <w:rPr>
          <w:szCs w:val="22"/>
        </w:rPr>
        <w:t xml:space="preserve">Except as provided in subparagraph 62-297.310(8)(b)3., F.A.C. (see condition </w:t>
      </w:r>
      <w:r w:rsidR="008E10F7" w:rsidRPr="007623EE">
        <w:rPr>
          <w:b/>
          <w:szCs w:val="22"/>
        </w:rPr>
        <w:t>TR7.</w:t>
      </w:r>
      <w:r w:rsidR="008E10F7" w:rsidRPr="007623EE">
        <w:rPr>
          <w:szCs w:val="22"/>
        </w:rPr>
        <w:t>b.(3) in Appendix TR – Facility-wide Testing Requirements)</w:t>
      </w:r>
      <w:r w:rsidRPr="007623EE">
        <w:rPr>
          <w:szCs w:val="22"/>
        </w:rPr>
        <w:t xml:space="preserve">, prior to permit renewal, compliance tests shall be performed for the following pollutants:  VE (except as provided in Specific Condition </w:t>
      </w:r>
      <w:r w:rsidR="00264C4F" w:rsidRPr="007623EE">
        <w:rPr>
          <w:b/>
          <w:szCs w:val="22"/>
        </w:rPr>
        <w:fldChar w:fldCharType="begin"/>
      </w:r>
      <w:r w:rsidR="00264C4F" w:rsidRPr="007623EE">
        <w:rPr>
          <w:b/>
          <w:szCs w:val="22"/>
        </w:rPr>
        <w:instrText xml:space="preserve"> REF _Ref504048687 \r \h  \* MERGEFORMAT </w:instrText>
      </w:r>
      <w:r w:rsidR="00264C4F" w:rsidRPr="007623EE">
        <w:rPr>
          <w:b/>
          <w:szCs w:val="22"/>
        </w:rPr>
      </w:r>
      <w:r w:rsidR="00264C4F" w:rsidRPr="007623EE">
        <w:rPr>
          <w:b/>
          <w:szCs w:val="22"/>
        </w:rPr>
        <w:fldChar w:fldCharType="separate"/>
      </w:r>
      <w:r w:rsidR="00D31800">
        <w:rPr>
          <w:b/>
          <w:szCs w:val="22"/>
        </w:rPr>
        <w:t>A.18</w:t>
      </w:r>
      <w:r w:rsidR="00264C4F" w:rsidRPr="007623EE">
        <w:rPr>
          <w:b/>
          <w:szCs w:val="22"/>
        </w:rPr>
        <w:fldChar w:fldCharType="end"/>
      </w:r>
      <w:r w:rsidRPr="007623EE">
        <w:rPr>
          <w:szCs w:val="22"/>
        </w:rPr>
        <w:t>), PM, NO</w:t>
      </w:r>
      <w:r w:rsidRPr="007623EE">
        <w:rPr>
          <w:szCs w:val="22"/>
          <w:vertAlign w:val="subscript"/>
        </w:rPr>
        <w:t>X</w:t>
      </w:r>
      <w:r w:rsidRPr="007623EE">
        <w:rPr>
          <w:szCs w:val="22"/>
        </w:rPr>
        <w:t xml:space="preserve"> and SO</w:t>
      </w:r>
      <w:r w:rsidRPr="007623EE">
        <w:rPr>
          <w:szCs w:val="22"/>
          <w:vertAlign w:val="subscript"/>
        </w:rPr>
        <w:t>2</w:t>
      </w:r>
      <w:r w:rsidRPr="007623EE">
        <w:rPr>
          <w:szCs w:val="22"/>
        </w:rPr>
        <w:t xml:space="preserve"> (except as provided in Specific Condition </w:t>
      </w:r>
      <w:r w:rsidR="00264C4F" w:rsidRPr="007623EE">
        <w:rPr>
          <w:b/>
          <w:szCs w:val="22"/>
        </w:rPr>
        <w:fldChar w:fldCharType="begin"/>
      </w:r>
      <w:r w:rsidR="00264C4F" w:rsidRPr="007623EE">
        <w:rPr>
          <w:b/>
          <w:szCs w:val="22"/>
        </w:rPr>
        <w:instrText xml:space="preserve"> REF _Ref504049050 \r \h  \* MERGEFORMAT </w:instrText>
      </w:r>
      <w:r w:rsidR="00264C4F" w:rsidRPr="007623EE">
        <w:rPr>
          <w:b/>
          <w:szCs w:val="22"/>
        </w:rPr>
      </w:r>
      <w:r w:rsidR="00264C4F" w:rsidRPr="007623EE">
        <w:rPr>
          <w:b/>
          <w:szCs w:val="22"/>
        </w:rPr>
        <w:fldChar w:fldCharType="separate"/>
      </w:r>
      <w:r w:rsidR="00D31800">
        <w:rPr>
          <w:b/>
          <w:szCs w:val="22"/>
        </w:rPr>
        <w:t>A.35</w:t>
      </w:r>
      <w:r w:rsidR="00264C4F" w:rsidRPr="007623EE">
        <w:rPr>
          <w:b/>
          <w:szCs w:val="22"/>
        </w:rPr>
        <w:fldChar w:fldCharType="end"/>
      </w:r>
      <w:r w:rsidRPr="007623EE">
        <w:rPr>
          <w:szCs w:val="22"/>
        </w:rPr>
        <w:t>).  [Rule 62-297.310(</w:t>
      </w:r>
      <w:r w:rsidR="00E25198" w:rsidRPr="007623EE">
        <w:rPr>
          <w:szCs w:val="22"/>
        </w:rPr>
        <w:t>8</w:t>
      </w:r>
      <w:r w:rsidRPr="007623EE">
        <w:rPr>
          <w:szCs w:val="22"/>
        </w:rPr>
        <w:t>)(</w:t>
      </w:r>
      <w:r w:rsidR="00E25198" w:rsidRPr="007623EE">
        <w:rPr>
          <w:szCs w:val="22"/>
        </w:rPr>
        <w:t>b</w:t>
      </w:r>
      <w:r w:rsidRPr="007623EE">
        <w:rPr>
          <w:szCs w:val="22"/>
        </w:rPr>
        <w:t>), F.A.C.]</w:t>
      </w:r>
      <w:bookmarkEnd w:id="69"/>
    </w:p>
    <w:p w14:paraId="0E72467A" w14:textId="5FE5477B" w:rsidR="008E10F7" w:rsidRPr="008E10F7" w:rsidRDefault="008E10F7" w:rsidP="008E10F7">
      <w:pPr>
        <w:widowControl w:val="0"/>
        <w:numPr>
          <w:ilvl w:val="0"/>
          <w:numId w:val="2"/>
        </w:numPr>
        <w:tabs>
          <w:tab w:val="left" w:pos="360"/>
          <w:tab w:val="left" w:pos="720"/>
          <w:tab w:val="left" w:pos="1080"/>
          <w:tab w:val="left" w:pos="1440"/>
          <w:tab w:val="right" w:pos="10080"/>
        </w:tabs>
        <w:spacing w:after="120"/>
        <w:ind w:left="360" w:hanging="360"/>
      </w:pPr>
      <w:r w:rsidRPr="00DD7EF4">
        <w:rPr>
          <w:szCs w:val="22"/>
          <w:u w:val="single"/>
        </w:rPr>
        <w:t>VE Testing</w:t>
      </w:r>
      <w:r w:rsidRPr="00DD7EF4">
        <w:rPr>
          <w:szCs w:val="22"/>
        </w:rPr>
        <w:t>.  If Martin Units’ 1 or 2 liquid fuel or fuel blend burning exceeds 400 hours combined during the calendar year, other than during startup, a visible emissions test shall be completed no later than 60 days after the emissions unit’s liquid fuel or fuel blend burning exceeds 400 hours combined, or by the end of the calendar year, whichever is later.  [Applicant Request; and, Rule 62-4.070(3), F.A.C.]</w:t>
      </w:r>
    </w:p>
    <w:p w14:paraId="79F4189D" w14:textId="4127FDC9" w:rsidR="008E10F7" w:rsidRPr="008E10F7" w:rsidRDefault="008E10F7" w:rsidP="008E10F7">
      <w:pPr>
        <w:widowControl w:val="0"/>
        <w:numPr>
          <w:ilvl w:val="0"/>
          <w:numId w:val="2"/>
        </w:numPr>
        <w:tabs>
          <w:tab w:val="left" w:pos="360"/>
          <w:tab w:val="left" w:pos="720"/>
          <w:tab w:val="left" w:pos="1080"/>
          <w:tab w:val="left" w:pos="1440"/>
          <w:tab w:val="right" w:pos="10080"/>
        </w:tabs>
        <w:ind w:left="360" w:hanging="360"/>
      </w:pPr>
      <w:bookmarkStart w:id="70" w:name="_Ref504049050"/>
      <w:r w:rsidRPr="00C16FF6">
        <w:rPr>
          <w:szCs w:val="22"/>
          <w:u w:val="single"/>
        </w:rPr>
        <w:t>Alternate Compliance for NO</w:t>
      </w:r>
      <w:r w:rsidRPr="00C16FF6">
        <w:rPr>
          <w:szCs w:val="22"/>
          <w:u w:val="single"/>
          <w:vertAlign w:val="subscript"/>
        </w:rPr>
        <w:t>X</w:t>
      </w:r>
      <w:r w:rsidRPr="00C16FF6">
        <w:rPr>
          <w:szCs w:val="22"/>
          <w:u w:val="single"/>
        </w:rPr>
        <w:t xml:space="preserve"> and SO</w:t>
      </w:r>
      <w:r w:rsidRPr="00C16FF6">
        <w:rPr>
          <w:szCs w:val="22"/>
          <w:u w:val="single"/>
          <w:vertAlign w:val="subscript"/>
        </w:rPr>
        <w:t>2</w:t>
      </w:r>
      <w:r w:rsidRPr="00C16FF6">
        <w:rPr>
          <w:szCs w:val="22"/>
        </w:rPr>
        <w:t>.</w:t>
      </w:r>
      <w:bookmarkEnd w:id="70"/>
    </w:p>
    <w:p w14:paraId="0A430795" w14:textId="40F2AD53" w:rsidR="008E10F7" w:rsidRPr="00C16FF6" w:rsidRDefault="008E10F7" w:rsidP="00061DE9">
      <w:pPr>
        <w:pStyle w:val="ListParagraph"/>
        <w:numPr>
          <w:ilvl w:val="1"/>
          <w:numId w:val="60"/>
        </w:numPr>
        <w:tabs>
          <w:tab w:val="clear" w:pos="1440"/>
          <w:tab w:val="left" w:pos="1350"/>
        </w:tabs>
        <w:ind w:left="720"/>
      </w:pPr>
      <w:r w:rsidRPr="00C16FF6">
        <w:rPr>
          <w:i/>
        </w:rPr>
        <w:t>NO</w:t>
      </w:r>
      <w:r w:rsidRPr="00C16FF6">
        <w:rPr>
          <w:i/>
          <w:vertAlign w:val="subscript"/>
        </w:rPr>
        <w:t>X</w:t>
      </w:r>
      <w:r w:rsidRPr="00C16FF6">
        <w:t>.</w:t>
      </w:r>
      <w:r>
        <w:t xml:space="preserve">  </w:t>
      </w:r>
      <w:r w:rsidRPr="00C16FF6">
        <w:t>No stack tests are required if CEMS show compliance with NO</w:t>
      </w:r>
      <w:r w:rsidRPr="00C16FF6">
        <w:rPr>
          <w:vertAlign w:val="subscript"/>
        </w:rPr>
        <w:t>X</w:t>
      </w:r>
      <w:r w:rsidRPr="00C16FF6">
        <w:t xml:space="preserve"> emissions limits.</w:t>
      </w:r>
    </w:p>
    <w:p w14:paraId="48869F7E" w14:textId="69C38EA5" w:rsidR="008E10F7" w:rsidRPr="00C16FF6" w:rsidRDefault="008E10F7" w:rsidP="00061DE9">
      <w:pPr>
        <w:pStyle w:val="ListParagraph"/>
        <w:numPr>
          <w:ilvl w:val="1"/>
          <w:numId w:val="60"/>
        </w:numPr>
        <w:tabs>
          <w:tab w:val="clear" w:pos="1440"/>
          <w:tab w:val="left" w:pos="1350"/>
        </w:tabs>
        <w:ind w:left="720"/>
      </w:pPr>
      <w:r w:rsidRPr="00C16FF6">
        <w:rPr>
          <w:i/>
        </w:rPr>
        <w:t>SO</w:t>
      </w:r>
      <w:r w:rsidRPr="00C16FF6">
        <w:rPr>
          <w:i/>
          <w:vertAlign w:val="subscript"/>
        </w:rPr>
        <w:t>2</w:t>
      </w:r>
      <w:r w:rsidRPr="00C16FF6">
        <w:t>.</w:t>
      </w:r>
      <w:r>
        <w:t xml:space="preserve">  </w:t>
      </w:r>
      <w:r w:rsidRPr="00C16FF6">
        <w:t>Annual and renewal stack tests are not required as long as results of fuel sampling and analysis demonstrate compliance with SO</w:t>
      </w:r>
      <w:r w:rsidRPr="00C16FF6">
        <w:rPr>
          <w:vertAlign w:val="subscript"/>
        </w:rPr>
        <w:t xml:space="preserve">2 </w:t>
      </w:r>
      <w:r>
        <w:t>emissions limits.</w:t>
      </w:r>
    </w:p>
    <w:p w14:paraId="363FE1EF" w14:textId="1921EC61" w:rsidR="008E10F7" w:rsidRDefault="008E10F7" w:rsidP="008E10F7">
      <w:pPr>
        <w:widowControl w:val="0"/>
        <w:tabs>
          <w:tab w:val="left" w:pos="360"/>
          <w:tab w:val="left" w:pos="720"/>
          <w:tab w:val="left" w:pos="1080"/>
          <w:tab w:val="left" w:pos="1440"/>
          <w:tab w:val="right" w:pos="10080"/>
        </w:tabs>
        <w:spacing w:after="120"/>
        <w:ind w:left="360"/>
      </w:pPr>
      <w:r w:rsidRPr="00C16FF6">
        <w:t>The Department will retain the authority to require EPA test methods, referenced above if it has reason to believe that exceedances of the NO</w:t>
      </w:r>
      <w:r w:rsidRPr="008E10F7">
        <w:rPr>
          <w:vertAlign w:val="subscript"/>
        </w:rPr>
        <w:t>X</w:t>
      </w:r>
      <w:r w:rsidRPr="00C16FF6">
        <w:t xml:space="preserve"> and SO</w:t>
      </w:r>
      <w:r w:rsidRPr="008E10F7">
        <w:rPr>
          <w:vertAlign w:val="subscript"/>
        </w:rPr>
        <w:t>2</w:t>
      </w:r>
      <w:r w:rsidRPr="00C16FF6">
        <w:t xml:space="preserve"> emissions limiting standard are occurring.  Results of an approved fuel sampling and analysis program shall have the same effect as EPA Method 6 test results for purposes of demonstrating compliance or noncompliance with SO</w:t>
      </w:r>
      <w:r w:rsidRPr="008E10F7">
        <w:rPr>
          <w:vertAlign w:val="subscript"/>
        </w:rPr>
        <w:t xml:space="preserve">2 </w:t>
      </w:r>
      <w:r w:rsidRPr="00C16FF6">
        <w:t>standards.  [Rule 62-213.440, F.A.C.; and, Permit No. 0850001-032-AC]</w:t>
      </w:r>
    </w:p>
    <w:p w14:paraId="3C8D8A4D" w14:textId="156BCEF1" w:rsidR="00E82CC1" w:rsidRPr="00E82CC1" w:rsidRDefault="00E82CC1" w:rsidP="00E82CC1">
      <w:pPr>
        <w:widowControl w:val="0"/>
        <w:numPr>
          <w:ilvl w:val="0"/>
          <w:numId w:val="2"/>
        </w:numPr>
        <w:tabs>
          <w:tab w:val="left" w:pos="360"/>
          <w:tab w:val="left" w:pos="720"/>
          <w:tab w:val="left" w:pos="1080"/>
          <w:tab w:val="left" w:pos="1440"/>
          <w:tab w:val="right" w:pos="10080"/>
        </w:tabs>
        <w:spacing w:after="120"/>
        <w:ind w:left="360" w:hanging="360"/>
      </w:pPr>
      <w:r w:rsidRPr="00173BD5">
        <w:rPr>
          <w:szCs w:val="22"/>
          <w:u w:val="single"/>
        </w:rPr>
        <w:t>Common Testing Requirements</w:t>
      </w:r>
      <w:r>
        <w:rPr>
          <w:szCs w:val="22"/>
        </w:rPr>
        <w:t>.  Unless otherwise specified, tests shall be conducted in accordance with the requirements and procedures specified in Appendix TR, Facility-Wide</w:t>
      </w:r>
      <w:r w:rsidRPr="00077B60">
        <w:rPr>
          <w:szCs w:val="22"/>
        </w:rPr>
        <w:t xml:space="preserve"> Testing Requirements</w:t>
      </w:r>
      <w:r>
        <w:rPr>
          <w:szCs w:val="22"/>
        </w:rPr>
        <w:t>,</w:t>
      </w:r>
      <w:r w:rsidRPr="00077B60">
        <w:rPr>
          <w:szCs w:val="22"/>
        </w:rPr>
        <w:t xml:space="preserve"> of this permit</w:t>
      </w:r>
      <w:r>
        <w:rPr>
          <w:szCs w:val="22"/>
        </w:rPr>
        <w:t>.</w:t>
      </w:r>
      <w:r w:rsidRPr="00077B60">
        <w:rPr>
          <w:szCs w:val="22"/>
        </w:rPr>
        <w:t xml:space="preserve">  </w:t>
      </w:r>
      <w:r w:rsidRPr="00845DA5">
        <w:rPr>
          <w:szCs w:val="22"/>
        </w:rPr>
        <w:t>[Rule 62-297.310, F.A.C.]</w:t>
      </w:r>
    </w:p>
    <w:p w14:paraId="03577826" w14:textId="65F5913E" w:rsidR="00E82CC1" w:rsidRPr="00E82CC1" w:rsidRDefault="00E82CC1" w:rsidP="00E82CC1">
      <w:pPr>
        <w:widowControl w:val="0"/>
        <w:numPr>
          <w:ilvl w:val="0"/>
          <w:numId w:val="2"/>
        </w:numPr>
        <w:tabs>
          <w:tab w:val="left" w:pos="360"/>
          <w:tab w:val="left" w:pos="720"/>
          <w:tab w:val="left" w:pos="1080"/>
          <w:tab w:val="left" w:pos="1440"/>
          <w:tab w:val="right" w:pos="10080"/>
        </w:tabs>
        <w:spacing w:after="120"/>
        <w:ind w:left="360" w:hanging="360"/>
      </w:pPr>
      <w:r w:rsidRPr="00C16FF6">
        <w:rPr>
          <w:szCs w:val="22"/>
          <w:u w:val="single"/>
        </w:rPr>
        <w:t>Opacity Observation</w:t>
      </w:r>
      <w:r w:rsidRPr="00C16FF6">
        <w:rPr>
          <w:szCs w:val="22"/>
        </w:rPr>
        <w:t xml:space="preserve">.  Compliance with opacity standards in 40 CFR 60 shall be determined by conducting observations in accordance with Reference Method 9 in Appendix A of 40 CFR 60, any alternative method that is approved by the Administrator, or as provided in 40 CFR 60.11(e)(5).  </w:t>
      </w:r>
      <w:r w:rsidRPr="00C16FF6">
        <w:rPr>
          <w:szCs w:val="22"/>
        </w:rPr>
        <w:br/>
        <w:t>[40 CFR 60.11(b)]</w:t>
      </w:r>
    </w:p>
    <w:p w14:paraId="18D1DCE7" w14:textId="5DBE3573" w:rsidR="00E82CC1" w:rsidRPr="00E82CC1" w:rsidRDefault="00E82CC1" w:rsidP="00E82CC1">
      <w:pPr>
        <w:widowControl w:val="0"/>
        <w:numPr>
          <w:ilvl w:val="0"/>
          <w:numId w:val="2"/>
        </w:numPr>
        <w:tabs>
          <w:tab w:val="left" w:pos="360"/>
          <w:tab w:val="left" w:pos="720"/>
          <w:tab w:val="left" w:pos="1080"/>
          <w:tab w:val="left" w:pos="1440"/>
          <w:tab w:val="right" w:pos="10080"/>
        </w:tabs>
        <w:spacing w:after="120"/>
        <w:ind w:left="360" w:hanging="360"/>
      </w:pPr>
      <w:r w:rsidRPr="00C16FF6">
        <w:rPr>
          <w:szCs w:val="22"/>
          <w:u w:val="single"/>
        </w:rPr>
        <w:t>Opacity Compliance</w:t>
      </w:r>
      <w:r w:rsidRPr="00C16FF6">
        <w:rPr>
          <w:szCs w:val="22"/>
        </w:rPr>
        <w:t>.  Compliance with standards in 40 CFR 60, other than opacity standards, shall be determined in accordance with performance tests established by 40 CFR 60.8, unless otherwise specified in the applicable standard.  [40 CFR 60.11(a)]</w:t>
      </w:r>
    </w:p>
    <w:p w14:paraId="651553B1" w14:textId="2CDE880B" w:rsidR="00E82CC1" w:rsidRPr="00E82CC1" w:rsidRDefault="00E82CC1" w:rsidP="00E82CC1">
      <w:pPr>
        <w:widowControl w:val="0"/>
        <w:numPr>
          <w:ilvl w:val="0"/>
          <w:numId w:val="2"/>
        </w:numPr>
        <w:tabs>
          <w:tab w:val="left" w:pos="360"/>
          <w:tab w:val="left" w:pos="720"/>
          <w:tab w:val="left" w:pos="1080"/>
          <w:tab w:val="left" w:pos="1440"/>
          <w:tab w:val="right" w:pos="10080"/>
        </w:tabs>
        <w:spacing w:after="120"/>
        <w:ind w:left="360" w:hanging="360"/>
      </w:pPr>
      <w:r w:rsidRPr="00C16FF6">
        <w:rPr>
          <w:szCs w:val="22"/>
          <w:u w:val="single"/>
        </w:rPr>
        <w:t>Performance Tests</w:t>
      </w:r>
      <w:r w:rsidRPr="00C16FF6">
        <w:rPr>
          <w:szCs w:val="22"/>
        </w:rPr>
        <w:t>.  Performance tests shall be conducted under such conditions as the Administrator shall specify to the plant operator based on representative performance of the affected facility.  The owner or operator shall make available to the Administrator such records as may be necessary to determine the conditions of the performance tests.  Operations during periods of startup, shutdown, and malfunction shall not constitute representative conditions for the purpose of a performance test nor shall emissions in excess of the level of the applicable emission limit during periods of startup, shutdown, and malfunction be considered a violation of the applicable emission limit unless otherwise specified in the applicable standard.  [40 CFR 60.8(c)]</w:t>
      </w:r>
    </w:p>
    <w:p w14:paraId="7015CFB5" w14:textId="11EEC9BF" w:rsidR="00E82CC1" w:rsidRPr="00E82CC1" w:rsidRDefault="00E82CC1" w:rsidP="00E82CC1">
      <w:pPr>
        <w:widowControl w:val="0"/>
        <w:numPr>
          <w:ilvl w:val="0"/>
          <w:numId w:val="2"/>
        </w:numPr>
        <w:tabs>
          <w:tab w:val="left" w:pos="360"/>
          <w:tab w:val="left" w:pos="720"/>
          <w:tab w:val="left" w:pos="1080"/>
          <w:tab w:val="left" w:pos="1440"/>
          <w:tab w:val="right" w:pos="10080"/>
        </w:tabs>
        <w:ind w:left="360" w:hanging="360"/>
      </w:pPr>
      <w:r w:rsidRPr="00C16FF6">
        <w:rPr>
          <w:szCs w:val="22"/>
          <w:u w:val="single"/>
        </w:rPr>
        <w:t>Compliance</w:t>
      </w:r>
      <w:r w:rsidRPr="00C16FF6">
        <w:rPr>
          <w:szCs w:val="22"/>
        </w:rPr>
        <w:t>.</w:t>
      </w:r>
    </w:p>
    <w:p w14:paraId="10BE55FE" w14:textId="39C4E7F4" w:rsidR="00E82CC1" w:rsidRPr="002A679B" w:rsidRDefault="00E82CC1" w:rsidP="00061DE9">
      <w:pPr>
        <w:pStyle w:val="ListParagraph"/>
        <w:widowControl w:val="0"/>
        <w:numPr>
          <w:ilvl w:val="0"/>
          <w:numId w:val="61"/>
        </w:numPr>
        <w:tabs>
          <w:tab w:val="left" w:pos="360"/>
          <w:tab w:val="left" w:pos="720"/>
          <w:tab w:val="left" w:pos="1080"/>
          <w:tab w:val="left" w:pos="1440"/>
          <w:tab w:val="right" w:pos="10080"/>
        </w:tabs>
        <w:spacing w:after="120"/>
      </w:pPr>
      <w:bookmarkStart w:id="71" w:name="_Hlk520121859"/>
      <w:r w:rsidRPr="00C16FF6">
        <w:rPr>
          <w:szCs w:val="22"/>
        </w:rPr>
        <w:t xml:space="preserve">The </w:t>
      </w:r>
      <w:r w:rsidRPr="002A679B">
        <w:rPr>
          <w:szCs w:val="22"/>
        </w:rPr>
        <w:t>permittee shall determine compliance with the particulate matter, SO</w:t>
      </w:r>
      <w:r w:rsidRPr="002A679B">
        <w:rPr>
          <w:szCs w:val="22"/>
          <w:vertAlign w:val="subscript"/>
        </w:rPr>
        <w:t>2</w:t>
      </w:r>
      <w:r w:rsidRPr="002A679B">
        <w:rPr>
          <w:szCs w:val="22"/>
        </w:rPr>
        <w:t>, and NO</w:t>
      </w:r>
      <w:r w:rsidRPr="002A679B">
        <w:rPr>
          <w:szCs w:val="22"/>
          <w:vertAlign w:val="subscript"/>
        </w:rPr>
        <w:t>X</w:t>
      </w:r>
      <w:r w:rsidRPr="002A679B">
        <w:rPr>
          <w:szCs w:val="22"/>
        </w:rPr>
        <w:t xml:space="preserve"> standards in 40 CFR 60.42, 60.43, and 60.44 as follows:</w:t>
      </w:r>
      <w:bookmarkEnd w:id="71"/>
    </w:p>
    <w:p w14:paraId="00F93A8C" w14:textId="7E9ACB35" w:rsidR="00E82CC1" w:rsidRPr="002A679B" w:rsidRDefault="008F5A9D" w:rsidP="00061DE9">
      <w:pPr>
        <w:pStyle w:val="ListParagraph"/>
        <w:widowControl w:val="0"/>
        <w:numPr>
          <w:ilvl w:val="0"/>
          <w:numId w:val="62"/>
        </w:numPr>
        <w:tabs>
          <w:tab w:val="left" w:pos="360"/>
          <w:tab w:val="left" w:pos="720"/>
          <w:tab w:val="left" w:pos="1080"/>
          <w:tab w:val="left" w:pos="1440"/>
          <w:tab w:val="right" w:pos="10080"/>
        </w:tabs>
        <w:spacing w:after="60"/>
        <w:contextualSpacing w:val="0"/>
      </w:pPr>
      <w:bookmarkStart w:id="72" w:name="_Hlk520121910"/>
      <w:r w:rsidRPr="002A679B">
        <w:rPr>
          <w:szCs w:val="22"/>
        </w:rPr>
        <w:t>The emission rate (E) of particulate matter, SO</w:t>
      </w:r>
      <w:r w:rsidRPr="002A679B">
        <w:rPr>
          <w:szCs w:val="22"/>
          <w:vertAlign w:val="subscript"/>
        </w:rPr>
        <w:t>2</w:t>
      </w:r>
      <w:r w:rsidRPr="002A679B">
        <w:rPr>
          <w:szCs w:val="22"/>
        </w:rPr>
        <w:t>, or NO</w:t>
      </w:r>
      <w:r w:rsidRPr="002A679B">
        <w:rPr>
          <w:szCs w:val="22"/>
          <w:vertAlign w:val="subscript"/>
        </w:rPr>
        <w:t>X</w:t>
      </w:r>
      <w:r w:rsidRPr="002A679B">
        <w:rPr>
          <w:szCs w:val="22"/>
        </w:rPr>
        <w:t xml:space="preserve"> shall be computed for each run using the following equation:</w:t>
      </w:r>
    </w:p>
    <w:p w14:paraId="1372A8BE" w14:textId="58CE1692" w:rsidR="008F5A9D" w:rsidRPr="002A679B" w:rsidRDefault="008F5A9D" w:rsidP="008F5A9D">
      <w:pPr>
        <w:pStyle w:val="ListParagraph"/>
        <w:widowControl w:val="0"/>
        <w:tabs>
          <w:tab w:val="left" w:pos="360"/>
          <w:tab w:val="left" w:pos="720"/>
          <w:tab w:val="left" w:pos="1080"/>
          <w:tab w:val="left" w:pos="1440"/>
          <w:tab w:val="right" w:pos="10080"/>
        </w:tabs>
        <w:spacing w:after="60"/>
        <w:ind w:left="1080"/>
      </w:pPr>
      <m:oMath>
        <m:r>
          <w:rPr>
            <w:rFonts w:ascii="Cambria Math" w:hAnsi="Cambria Math"/>
          </w:rPr>
          <m:t>E=C</m:t>
        </m:r>
        <m:sSub>
          <m:sSubPr>
            <m:ctrlPr>
              <w:rPr>
                <w:rFonts w:ascii="Cambria Math" w:hAnsi="Cambria Math"/>
                <w:i/>
              </w:rPr>
            </m:ctrlPr>
          </m:sSubPr>
          <m:e>
            <m:r>
              <w:rPr>
                <w:rFonts w:ascii="Cambria Math" w:hAnsi="Cambria Math"/>
              </w:rPr>
              <m:t>F</m:t>
            </m:r>
          </m:e>
          <m:sub>
            <m:r>
              <w:rPr>
                <w:rFonts w:ascii="Cambria Math" w:hAnsi="Cambria Math"/>
              </w:rPr>
              <m:t>d</m:t>
            </m:r>
          </m:sub>
        </m:sSub>
        <m:d>
          <m:dPr>
            <m:ctrlPr>
              <w:rPr>
                <w:rFonts w:ascii="Cambria Math" w:hAnsi="Cambria Math"/>
                <w:i/>
              </w:rPr>
            </m:ctrlPr>
          </m:dPr>
          <m:e>
            <m:f>
              <m:fPr>
                <m:ctrlPr>
                  <w:rPr>
                    <w:rFonts w:ascii="Cambria Math" w:hAnsi="Cambria Math"/>
                    <w:i/>
                  </w:rPr>
                </m:ctrlPr>
              </m:fPr>
              <m:num>
                <m:r>
                  <w:rPr>
                    <w:rFonts w:ascii="Cambria Math" w:hAnsi="Cambria Math"/>
                  </w:rPr>
                  <m:t>20.9</m:t>
                </m:r>
              </m:num>
              <m:den>
                <m:d>
                  <m:dPr>
                    <m:ctrlPr>
                      <w:rPr>
                        <w:rFonts w:ascii="Cambria Math" w:hAnsi="Cambria Math"/>
                        <w:i/>
                      </w:rPr>
                    </m:ctrlPr>
                  </m:dPr>
                  <m:e>
                    <m:r>
                      <w:rPr>
                        <w:rFonts w:ascii="Cambria Math" w:hAnsi="Cambria Math"/>
                      </w:rPr>
                      <m:t>20.9-%</m:t>
                    </m:r>
                    <m:sSub>
                      <m:sSubPr>
                        <m:ctrlPr>
                          <w:rPr>
                            <w:rFonts w:ascii="Cambria Math" w:hAnsi="Cambria Math"/>
                            <w:i/>
                          </w:rPr>
                        </m:ctrlPr>
                      </m:sSubPr>
                      <m:e>
                        <m:r>
                          <w:rPr>
                            <w:rFonts w:ascii="Cambria Math" w:hAnsi="Cambria Math"/>
                          </w:rPr>
                          <m:t>O</m:t>
                        </m:r>
                      </m:e>
                      <m:sub>
                        <m:r>
                          <w:rPr>
                            <w:rFonts w:ascii="Cambria Math" w:hAnsi="Cambria Math"/>
                          </w:rPr>
                          <m:t>2</m:t>
                        </m:r>
                      </m:sub>
                    </m:sSub>
                  </m:e>
                </m:d>
              </m:den>
            </m:f>
          </m:e>
        </m:d>
      </m:oMath>
      <w:r w:rsidRPr="002A679B">
        <w:t xml:space="preserve"> </w:t>
      </w:r>
    </w:p>
    <w:p w14:paraId="7544B5E1" w14:textId="11FD8C2D" w:rsidR="008F5A9D" w:rsidRPr="002A679B" w:rsidRDefault="008F5A9D" w:rsidP="008F5A9D">
      <w:pPr>
        <w:pStyle w:val="ListParagraph"/>
        <w:widowControl w:val="0"/>
        <w:tabs>
          <w:tab w:val="left" w:pos="360"/>
          <w:tab w:val="left" w:pos="720"/>
          <w:tab w:val="left" w:pos="1080"/>
          <w:tab w:val="left" w:pos="1440"/>
          <w:tab w:val="right" w:pos="10080"/>
        </w:tabs>
        <w:spacing w:after="60"/>
        <w:ind w:left="1080"/>
      </w:pPr>
      <w:r w:rsidRPr="002A679B">
        <w:t>Where:</w:t>
      </w:r>
    </w:p>
    <w:p w14:paraId="71562788" w14:textId="6DDB7537" w:rsidR="008F5A9D" w:rsidRPr="002A679B" w:rsidRDefault="008F5A9D" w:rsidP="008F5A9D">
      <w:pPr>
        <w:pStyle w:val="ListParagraph"/>
        <w:widowControl w:val="0"/>
        <w:tabs>
          <w:tab w:val="left" w:pos="360"/>
          <w:tab w:val="left" w:pos="720"/>
          <w:tab w:val="left" w:pos="1080"/>
          <w:tab w:val="left" w:pos="1440"/>
          <w:tab w:val="right" w:pos="10080"/>
        </w:tabs>
        <w:spacing w:after="60"/>
        <w:ind w:left="1080"/>
        <w:rPr>
          <w:szCs w:val="22"/>
        </w:rPr>
      </w:pPr>
      <w:r w:rsidRPr="002A679B">
        <w:t>E = E</w:t>
      </w:r>
      <w:r w:rsidRPr="002A679B">
        <w:rPr>
          <w:szCs w:val="22"/>
        </w:rPr>
        <w:t>mission rate of pollutant, ng/J (1b/million Btu).</w:t>
      </w:r>
    </w:p>
    <w:p w14:paraId="172CB30C" w14:textId="3147BCE1" w:rsidR="008F5A9D" w:rsidRPr="002A679B" w:rsidRDefault="008F5A9D" w:rsidP="008F5A9D">
      <w:pPr>
        <w:pStyle w:val="ListParagraph"/>
        <w:widowControl w:val="0"/>
        <w:tabs>
          <w:tab w:val="left" w:pos="360"/>
          <w:tab w:val="left" w:pos="720"/>
          <w:tab w:val="left" w:pos="1080"/>
          <w:tab w:val="left" w:pos="1440"/>
          <w:tab w:val="right" w:pos="10080"/>
        </w:tabs>
        <w:spacing w:after="60"/>
        <w:ind w:left="1080"/>
      </w:pPr>
      <w:r w:rsidRPr="002A679B">
        <w:t>C = Concentration of pollutant, ng/dscm (1 lb/dscf).</w:t>
      </w:r>
    </w:p>
    <w:p w14:paraId="2825C886" w14:textId="5203454B" w:rsidR="008F5A9D" w:rsidRPr="002A679B" w:rsidRDefault="008F5A9D" w:rsidP="008F5A9D">
      <w:pPr>
        <w:pStyle w:val="ListParagraph"/>
        <w:widowControl w:val="0"/>
        <w:tabs>
          <w:tab w:val="left" w:pos="360"/>
          <w:tab w:val="left" w:pos="720"/>
          <w:tab w:val="left" w:pos="1080"/>
          <w:tab w:val="left" w:pos="1440"/>
          <w:tab w:val="right" w:pos="10080"/>
        </w:tabs>
        <w:spacing w:after="60"/>
        <w:ind w:left="1080"/>
      </w:pPr>
      <w:r w:rsidRPr="002A679B">
        <w:t>%O</w:t>
      </w:r>
      <w:r w:rsidRPr="002A679B">
        <w:rPr>
          <w:vertAlign w:val="subscript"/>
        </w:rPr>
        <w:t>2</w:t>
      </w:r>
      <w:r w:rsidRPr="002A679B">
        <w:t xml:space="preserve"> = O</w:t>
      </w:r>
      <w:r w:rsidRPr="002A679B">
        <w:rPr>
          <w:vertAlign w:val="subscript"/>
        </w:rPr>
        <w:t>2</w:t>
      </w:r>
      <w:r w:rsidRPr="002A679B">
        <w:t xml:space="preserve"> concentration, percent dry basis.</w:t>
      </w:r>
    </w:p>
    <w:p w14:paraId="15D0DC12" w14:textId="6CDE67D4" w:rsidR="008F5A9D" w:rsidRPr="002A679B" w:rsidRDefault="008F5A9D" w:rsidP="008F5A9D">
      <w:pPr>
        <w:pStyle w:val="ListParagraph"/>
        <w:widowControl w:val="0"/>
        <w:tabs>
          <w:tab w:val="left" w:pos="360"/>
          <w:tab w:val="left" w:pos="720"/>
          <w:tab w:val="left" w:pos="1080"/>
          <w:tab w:val="left" w:pos="1440"/>
          <w:tab w:val="right" w:pos="10080"/>
        </w:tabs>
        <w:spacing w:after="60"/>
        <w:ind w:left="1080"/>
        <w:rPr>
          <w:szCs w:val="22"/>
        </w:rPr>
      </w:pPr>
      <w:proofErr w:type="spellStart"/>
      <w:r w:rsidRPr="002A679B">
        <w:t>F</w:t>
      </w:r>
      <w:r w:rsidRPr="002A679B">
        <w:rPr>
          <w:vertAlign w:val="subscript"/>
        </w:rPr>
        <w:t>d</w:t>
      </w:r>
      <w:proofErr w:type="spellEnd"/>
      <w:r w:rsidRPr="002A679B">
        <w:t xml:space="preserve"> = </w:t>
      </w:r>
      <w:r w:rsidRPr="002A679B">
        <w:rPr>
          <w:szCs w:val="22"/>
        </w:rPr>
        <w:t>factor as determined from Method 19 of appendix A of 40 CFR 60.</w:t>
      </w:r>
    </w:p>
    <w:p w14:paraId="2B42256E" w14:textId="18D2EED3" w:rsidR="00AB0CA3" w:rsidRPr="002A679B" w:rsidRDefault="00AB0CA3" w:rsidP="00061DE9">
      <w:pPr>
        <w:pStyle w:val="ListParagraph"/>
        <w:widowControl w:val="0"/>
        <w:numPr>
          <w:ilvl w:val="0"/>
          <w:numId w:val="62"/>
        </w:numPr>
        <w:tabs>
          <w:tab w:val="left" w:pos="360"/>
          <w:tab w:val="left" w:pos="720"/>
          <w:tab w:val="left" w:pos="1080"/>
          <w:tab w:val="left" w:pos="1440"/>
          <w:tab w:val="right" w:pos="10080"/>
        </w:tabs>
        <w:contextualSpacing w:val="0"/>
      </w:pPr>
      <w:r w:rsidRPr="002A679B">
        <w:rPr>
          <w:szCs w:val="22"/>
        </w:rPr>
        <w:t>Method 5</w:t>
      </w:r>
      <w:r w:rsidR="00076B18" w:rsidRPr="002A679B">
        <w:rPr>
          <w:szCs w:val="22"/>
        </w:rPr>
        <w:t xml:space="preserve"> of appendix A of 40 CFR 60</w:t>
      </w:r>
      <w:r w:rsidRPr="002A679B">
        <w:rPr>
          <w:szCs w:val="22"/>
        </w:rPr>
        <w:t xml:space="preserve"> shall be used to determine the</w:t>
      </w:r>
      <w:r w:rsidR="007623EE" w:rsidRPr="002A679B">
        <w:rPr>
          <w:szCs w:val="22"/>
        </w:rPr>
        <w:t xml:space="preserve"> </w:t>
      </w:r>
      <w:r w:rsidR="00076B18" w:rsidRPr="002A679B">
        <w:rPr>
          <w:szCs w:val="22"/>
        </w:rPr>
        <w:t xml:space="preserve">PM </w:t>
      </w:r>
      <w:r w:rsidRPr="002A679B">
        <w:rPr>
          <w:szCs w:val="22"/>
        </w:rPr>
        <w:t>concentration (C) at affected facilities without wet flue-gas-desulfurization (FGD) systems and Method 5B</w:t>
      </w:r>
      <w:r w:rsidR="00076B18" w:rsidRPr="002A679B">
        <w:rPr>
          <w:szCs w:val="22"/>
        </w:rPr>
        <w:t xml:space="preserve"> of appendix A of 40 CFR 60</w:t>
      </w:r>
      <w:r w:rsidRPr="002A679B">
        <w:rPr>
          <w:szCs w:val="22"/>
        </w:rPr>
        <w:t xml:space="preserve"> shall be used to determine the </w:t>
      </w:r>
      <w:r w:rsidR="00076B18" w:rsidRPr="002A679B">
        <w:rPr>
          <w:szCs w:val="22"/>
        </w:rPr>
        <w:t>PM</w:t>
      </w:r>
      <w:r w:rsidR="002A679B" w:rsidRPr="002A679B">
        <w:rPr>
          <w:szCs w:val="22"/>
        </w:rPr>
        <w:t xml:space="preserve"> </w:t>
      </w:r>
      <w:r w:rsidRPr="002A679B">
        <w:rPr>
          <w:szCs w:val="22"/>
        </w:rPr>
        <w:t>concentration (C) after FGD systems.</w:t>
      </w:r>
    </w:p>
    <w:p w14:paraId="4B7CED0B" w14:textId="37652A1B" w:rsidR="00076B18" w:rsidRPr="00076B18" w:rsidRDefault="00076B18" w:rsidP="00061DE9">
      <w:pPr>
        <w:pStyle w:val="ListParagraph"/>
        <w:widowControl w:val="0"/>
        <w:numPr>
          <w:ilvl w:val="0"/>
          <w:numId w:val="63"/>
        </w:numPr>
        <w:tabs>
          <w:tab w:val="left" w:pos="360"/>
          <w:tab w:val="left" w:pos="720"/>
          <w:tab w:val="left" w:pos="1080"/>
          <w:tab w:val="left" w:pos="1440"/>
          <w:tab w:val="right" w:pos="10080"/>
        </w:tabs>
        <w:contextualSpacing w:val="0"/>
      </w:pPr>
      <w:r w:rsidRPr="002A679B">
        <w:rPr>
          <w:szCs w:val="22"/>
        </w:rPr>
        <w:t>The sampling time and sample volume for each run shall be at least 60 minutes</w:t>
      </w:r>
      <w:r w:rsidRPr="00C16FF6">
        <w:rPr>
          <w:szCs w:val="22"/>
        </w:rPr>
        <w:t xml:space="preserve"> and 0.85 dscm (30 dscf).  The probe and filter holder heating systems in the sampling train may be set to provide a gas temperature no greater than 160 </w:t>
      </w:r>
      <w:r w:rsidRPr="00C16FF6">
        <w:rPr>
          <w:szCs w:val="22"/>
        </w:rPr>
        <w:fldChar w:fldCharType="begin"/>
      </w:r>
      <w:r w:rsidRPr="00C16FF6">
        <w:rPr>
          <w:szCs w:val="22"/>
        </w:rPr>
        <w:instrText>symbol 177 \f "Symbol" \s 11</w:instrText>
      </w:r>
      <w:r w:rsidRPr="00C16FF6">
        <w:rPr>
          <w:szCs w:val="22"/>
        </w:rPr>
        <w:fldChar w:fldCharType="end"/>
      </w:r>
      <w:r w:rsidRPr="00C16FF6">
        <w:rPr>
          <w:szCs w:val="22"/>
        </w:rPr>
        <w:t xml:space="preserve"> 14</w:t>
      </w:r>
      <w:r>
        <w:rPr>
          <w:szCs w:val="22"/>
        </w:rPr>
        <w:t>⁰</w:t>
      </w:r>
      <w:r w:rsidRPr="00C16FF6">
        <w:rPr>
          <w:szCs w:val="22"/>
        </w:rPr>
        <w:t xml:space="preserve">C (320 </w:t>
      </w:r>
      <w:r w:rsidRPr="00C16FF6">
        <w:rPr>
          <w:szCs w:val="22"/>
        </w:rPr>
        <w:fldChar w:fldCharType="begin"/>
      </w:r>
      <w:r w:rsidRPr="00C16FF6">
        <w:rPr>
          <w:szCs w:val="22"/>
        </w:rPr>
        <w:instrText>symbol 177 \f "Symbol" \s 11</w:instrText>
      </w:r>
      <w:r w:rsidRPr="00C16FF6">
        <w:rPr>
          <w:szCs w:val="22"/>
        </w:rPr>
        <w:fldChar w:fldCharType="end"/>
      </w:r>
      <w:r w:rsidRPr="00C16FF6">
        <w:rPr>
          <w:szCs w:val="22"/>
        </w:rPr>
        <w:t xml:space="preserve"> 25</w:t>
      </w:r>
      <w:r>
        <w:rPr>
          <w:szCs w:val="22"/>
        </w:rPr>
        <w:t>⁰</w:t>
      </w:r>
      <w:r w:rsidRPr="00C16FF6">
        <w:rPr>
          <w:szCs w:val="22"/>
        </w:rPr>
        <w:t>F).</w:t>
      </w:r>
    </w:p>
    <w:p w14:paraId="3F0D185D" w14:textId="21F451B2" w:rsidR="00076B18" w:rsidRPr="002A679B" w:rsidRDefault="00076B18" w:rsidP="00061DE9">
      <w:pPr>
        <w:pStyle w:val="ListParagraph"/>
        <w:widowControl w:val="0"/>
        <w:numPr>
          <w:ilvl w:val="0"/>
          <w:numId w:val="63"/>
        </w:numPr>
        <w:tabs>
          <w:tab w:val="left" w:pos="360"/>
          <w:tab w:val="left" w:pos="720"/>
          <w:tab w:val="left" w:pos="1080"/>
          <w:tab w:val="left" w:pos="1440"/>
          <w:tab w:val="right" w:pos="10080"/>
        </w:tabs>
        <w:contextualSpacing w:val="0"/>
      </w:pPr>
      <w:r w:rsidRPr="00C16FF6">
        <w:rPr>
          <w:szCs w:val="22"/>
        </w:rPr>
        <w:t>The emission rate correction factor, integrated or grab sampling and analysis procedure of Method 3B shall be used to determine the O</w:t>
      </w:r>
      <w:r w:rsidRPr="00C16FF6">
        <w:rPr>
          <w:szCs w:val="22"/>
          <w:vertAlign w:val="subscript"/>
        </w:rPr>
        <w:t>2</w:t>
      </w:r>
      <w:r w:rsidRPr="00C16FF6">
        <w:rPr>
          <w:szCs w:val="22"/>
        </w:rPr>
        <w:t xml:space="preserve"> concentration (%O</w:t>
      </w:r>
      <w:r w:rsidRPr="00C16FF6">
        <w:rPr>
          <w:szCs w:val="22"/>
          <w:vertAlign w:val="subscript"/>
        </w:rPr>
        <w:t>2</w:t>
      </w:r>
      <w:r w:rsidRPr="00C16FF6">
        <w:rPr>
          <w:szCs w:val="22"/>
        </w:rPr>
        <w:t>).  The O</w:t>
      </w:r>
      <w:r w:rsidRPr="00C16FF6">
        <w:rPr>
          <w:szCs w:val="22"/>
          <w:vertAlign w:val="subscript"/>
        </w:rPr>
        <w:t>2</w:t>
      </w:r>
      <w:r w:rsidRPr="00C16FF6">
        <w:rPr>
          <w:szCs w:val="22"/>
        </w:rPr>
        <w:t xml:space="preserve"> sample shall be </w:t>
      </w:r>
      <w:r w:rsidRPr="002A679B">
        <w:rPr>
          <w:szCs w:val="22"/>
        </w:rPr>
        <w:t>obtained simultaneously with, and at the same traverse points as, the particulate sample.  If the grab sampling procedure is used, the O</w:t>
      </w:r>
      <w:r w:rsidRPr="002A679B">
        <w:rPr>
          <w:szCs w:val="22"/>
          <w:vertAlign w:val="subscript"/>
        </w:rPr>
        <w:t xml:space="preserve">2 </w:t>
      </w:r>
      <w:r w:rsidRPr="002A679B">
        <w:rPr>
          <w:szCs w:val="22"/>
        </w:rPr>
        <w:t>concentration for the run shall be the arithmetic mean of all the sample O</w:t>
      </w:r>
      <w:r w:rsidRPr="002A679B">
        <w:rPr>
          <w:szCs w:val="22"/>
          <w:vertAlign w:val="subscript"/>
        </w:rPr>
        <w:t>2</w:t>
      </w:r>
      <w:r w:rsidRPr="002A679B">
        <w:rPr>
          <w:szCs w:val="22"/>
        </w:rPr>
        <w:t xml:space="preserve"> concentrations at all traverse points.</w:t>
      </w:r>
    </w:p>
    <w:p w14:paraId="3B44B90C" w14:textId="5AEFD9AE" w:rsidR="00076B18" w:rsidRPr="002A679B" w:rsidRDefault="00076B18" w:rsidP="00061DE9">
      <w:pPr>
        <w:pStyle w:val="ListParagraph"/>
        <w:widowControl w:val="0"/>
        <w:numPr>
          <w:ilvl w:val="0"/>
          <w:numId w:val="63"/>
        </w:numPr>
        <w:tabs>
          <w:tab w:val="left" w:pos="360"/>
          <w:tab w:val="left" w:pos="720"/>
          <w:tab w:val="left" w:pos="1080"/>
          <w:tab w:val="left" w:pos="1440"/>
          <w:tab w:val="right" w:pos="10080"/>
        </w:tabs>
        <w:contextualSpacing w:val="0"/>
      </w:pPr>
      <w:r w:rsidRPr="002A679B">
        <w:rPr>
          <w:szCs w:val="22"/>
        </w:rPr>
        <w:t>If the particulate run has more than 12 traverse points, the O</w:t>
      </w:r>
      <w:r w:rsidRPr="002A679B">
        <w:rPr>
          <w:szCs w:val="22"/>
          <w:vertAlign w:val="subscript"/>
        </w:rPr>
        <w:t>2</w:t>
      </w:r>
      <w:r w:rsidRPr="002A679B">
        <w:rPr>
          <w:szCs w:val="22"/>
        </w:rPr>
        <w:t xml:space="preserve"> traverse points may be reduced to 12 provided that Method 1 is used to locate the 12 O</w:t>
      </w:r>
      <w:r w:rsidRPr="002A679B">
        <w:rPr>
          <w:szCs w:val="22"/>
          <w:vertAlign w:val="subscript"/>
        </w:rPr>
        <w:t>2</w:t>
      </w:r>
      <w:r w:rsidRPr="002A679B">
        <w:rPr>
          <w:szCs w:val="22"/>
        </w:rPr>
        <w:t xml:space="preserve"> traverse points.</w:t>
      </w:r>
    </w:p>
    <w:p w14:paraId="10AC89E1" w14:textId="60304BE4" w:rsidR="00076B18" w:rsidRPr="002A679B" w:rsidRDefault="00076B18" w:rsidP="00061DE9">
      <w:pPr>
        <w:pStyle w:val="ListParagraph"/>
        <w:widowControl w:val="0"/>
        <w:numPr>
          <w:ilvl w:val="0"/>
          <w:numId w:val="62"/>
        </w:numPr>
        <w:tabs>
          <w:tab w:val="left" w:pos="360"/>
          <w:tab w:val="left" w:pos="720"/>
          <w:tab w:val="left" w:pos="1080"/>
          <w:tab w:val="left" w:pos="1440"/>
          <w:tab w:val="right" w:pos="10080"/>
        </w:tabs>
        <w:contextualSpacing w:val="0"/>
        <w:rPr>
          <w:szCs w:val="22"/>
        </w:rPr>
      </w:pPr>
      <w:r w:rsidRPr="002A679B">
        <w:rPr>
          <w:szCs w:val="22"/>
        </w:rPr>
        <w:t>Method 9 of appendix A of 40 CFR 60 and the procedures in 40 CFR 60.11 shall be used to determine opacity.</w:t>
      </w:r>
    </w:p>
    <w:p w14:paraId="46323229" w14:textId="3A9F1255" w:rsidR="00076B18" w:rsidRDefault="00076B18" w:rsidP="00061DE9">
      <w:pPr>
        <w:pStyle w:val="ListParagraph"/>
        <w:widowControl w:val="0"/>
        <w:numPr>
          <w:ilvl w:val="0"/>
          <w:numId w:val="62"/>
        </w:numPr>
        <w:tabs>
          <w:tab w:val="left" w:pos="360"/>
          <w:tab w:val="left" w:pos="720"/>
          <w:tab w:val="left" w:pos="1080"/>
          <w:tab w:val="left" w:pos="1440"/>
          <w:tab w:val="right" w:pos="10080"/>
        </w:tabs>
        <w:contextualSpacing w:val="0"/>
        <w:rPr>
          <w:szCs w:val="22"/>
        </w:rPr>
      </w:pPr>
      <w:r w:rsidRPr="002A679B">
        <w:rPr>
          <w:szCs w:val="22"/>
        </w:rPr>
        <w:t>Method 6 of appendix A of 40 CFR 60 shall</w:t>
      </w:r>
      <w:r w:rsidRPr="00C16FF6">
        <w:rPr>
          <w:szCs w:val="22"/>
        </w:rPr>
        <w:t xml:space="preserve"> be used to determine the SO</w:t>
      </w:r>
      <w:r w:rsidRPr="00C16FF6">
        <w:rPr>
          <w:szCs w:val="22"/>
          <w:vertAlign w:val="subscript"/>
        </w:rPr>
        <w:t>2</w:t>
      </w:r>
      <w:r w:rsidRPr="00C16FF6">
        <w:rPr>
          <w:szCs w:val="22"/>
        </w:rPr>
        <w:t xml:space="preserve"> concentration.</w:t>
      </w:r>
    </w:p>
    <w:p w14:paraId="3E7EC07A" w14:textId="066D0DA3" w:rsidR="00076B18" w:rsidRPr="00076B18" w:rsidRDefault="00076B18" w:rsidP="00061DE9">
      <w:pPr>
        <w:pStyle w:val="ListParagraph"/>
        <w:widowControl w:val="0"/>
        <w:numPr>
          <w:ilvl w:val="0"/>
          <w:numId w:val="64"/>
        </w:numPr>
        <w:tabs>
          <w:tab w:val="left" w:pos="360"/>
          <w:tab w:val="left" w:pos="720"/>
          <w:tab w:val="left" w:pos="1080"/>
          <w:tab w:val="left" w:pos="1440"/>
          <w:tab w:val="right" w:pos="10080"/>
        </w:tabs>
        <w:contextualSpacing w:val="0"/>
      </w:pPr>
      <w:r w:rsidRPr="00C16FF6">
        <w:rPr>
          <w:szCs w:val="22"/>
        </w:rPr>
        <w:t>The sampling site shall be the same as that selected for the particulate sample.  The sampling location in the duct shall be at the centroid of the cross section or at a point no closer to the walls than 1 m (3.28 ft).  The sampling time and sample volume for each sample run shall be at least 20 minutes and 0.020 dscm (0.71 dscf).  Two samples shall be taken during a 1-hour period, with each sample taken within a 30-minute interval.</w:t>
      </w:r>
    </w:p>
    <w:p w14:paraId="20B0E635" w14:textId="1798C283" w:rsidR="00076B18" w:rsidRPr="006865F8" w:rsidRDefault="00076B18" w:rsidP="00061DE9">
      <w:pPr>
        <w:pStyle w:val="ListParagraph"/>
        <w:widowControl w:val="0"/>
        <w:numPr>
          <w:ilvl w:val="0"/>
          <w:numId w:val="64"/>
        </w:numPr>
        <w:tabs>
          <w:tab w:val="left" w:pos="360"/>
          <w:tab w:val="left" w:pos="720"/>
          <w:tab w:val="left" w:pos="1080"/>
          <w:tab w:val="left" w:pos="1440"/>
          <w:tab w:val="right" w:pos="10080"/>
        </w:tabs>
        <w:contextualSpacing w:val="0"/>
      </w:pPr>
      <w:r w:rsidRPr="00C16FF6">
        <w:rPr>
          <w:szCs w:val="22"/>
        </w:rPr>
        <w:t>The emission rate correction factor, integrated sampling and analysis procedure of Method 3B shall be used to determine the O</w:t>
      </w:r>
      <w:r w:rsidRPr="00C16FF6">
        <w:rPr>
          <w:szCs w:val="22"/>
          <w:vertAlign w:val="subscript"/>
        </w:rPr>
        <w:t>2</w:t>
      </w:r>
      <w:r w:rsidRPr="00C16FF6">
        <w:rPr>
          <w:szCs w:val="22"/>
        </w:rPr>
        <w:t xml:space="preserve"> concentration (%O</w:t>
      </w:r>
      <w:r w:rsidRPr="00C16FF6">
        <w:rPr>
          <w:szCs w:val="22"/>
          <w:vertAlign w:val="subscript"/>
        </w:rPr>
        <w:t>2</w:t>
      </w:r>
      <w:r w:rsidRPr="00C16FF6">
        <w:rPr>
          <w:szCs w:val="22"/>
        </w:rPr>
        <w:t>).  The O</w:t>
      </w:r>
      <w:r w:rsidRPr="00C16FF6">
        <w:rPr>
          <w:szCs w:val="22"/>
          <w:vertAlign w:val="subscript"/>
        </w:rPr>
        <w:t>2</w:t>
      </w:r>
      <w:r w:rsidRPr="00C16FF6">
        <w:rPr>
          <w:szCs w:val="22"/>
        </w:rPr>
        <w:t xml:space="preserve"> sample shall be taken simultaneously with, and at the same point as, the SO</w:t>
      </w:r>
      <w:r w:rsidRPr="00C16FF6">
        <w:rPr>
          <w:szCs w:val="22"/>
          <w:vertAlign w:val="subscript"/>
        </w:rPr>
        <w:t>2</w:t>
      </w:r>
      <w:r w:rsidRPr="00C16FF6">
        <w:rPr>
          <w:szCs w:val="22"/>
        </w:rPr>
        <w:t xml:space="preserve"> sample.  The SO</w:t>
      </w:r>
      <w:r w:rsidRPr="00C16FF6">
        <w:rPr>
          <w:szCs w:val="22"/>
          <w:vertAlign w:val="subscript"/>
        </w:rPr>
        <w:t>2</w:t>
      </w:r>
      <w:r w:rsidRPr="00C16FF6">
        <w:rPr>
          <w:szCs w:val="22"/>
        </w:rPr>
        <w:t xml:space="preserve"> emission rate shall be computed for each pair of SO</w:t>
      </w:r>
      <w:r w:rsidRPr="00C16FF6">
        <w:rPr>
          <w:szCs w:val="22"/>
          <w:vertAlign w:val="subscript"/>
        </w:rPr>
        <w:t>2</w:t>
      </w:r>
      <w:r w:rsidRPr="00C16FF6">
        <w:rPr>
          <w:szCs w:val="22"/>
        </w:rPr>
        <w:t xml:space="preserve"> and O</w:t>
      </w:r>
      <w:r w:rsidRPr="00C16FF6">
        <w:rPr>
          <w:szCs w:val="22"/>
          <w:vertAlign w:val="subscript"/>
        </w:rPr>
        <w:t>2</w:t>
      </w:r>
      <w:r w:rsidRPr="00C16FF6">
        <w:rPr>
          <w:szCs w:val="22"/>
        </w:rPr>
        <w:t xml:space="preserve"> samples.  The SO</w:t>
      </w:r>
      <w:r w:rsidRPr="00C16FF6">
        <w:rPr>
          <w:szCs w:val="22"/>
          <w:vertAlign w:val="subscript"/>
        </w:rPr>
        <w:t>2</w:t>
      </w:r>
      <w:r w:rsidRPr="00C16FF6">
        <w:rPr>
          <w:szCs w:val="22"/>
        </w:rPr>
        <w:t xml:space="preserve"> emission rate (E) for each run shall be the arithmetic mean of the results of the two pairs of samples.</w:t>
      </w:r>
    </w:p>
    <w:p w14:paraId="5A6ADA87" w14:textId="77BAE889" w:rsidR="006865F8" w:rsidRPr="006865F8" w:rsidRDefault="006865F8" w:rsidP="00061DE9">
      <w:pPr>
        <w:pStyle w:val="ListParagraph"/>
        <w:widowControl w:val="0"/>
        <w:numPr>
          <w:ilvl w:val="0"/>
          <w:numId w:val="62"/>
        </w:numPr>
        <w:tabs>
          <w:tab w:val="left" w:pos="360"/>
          <w:tab w:val="left" w:pos="720"/>
          <w:tab w:val="left" w:pos="1080"/>
          <w:tab w:val="left" w:pos="1440"/>
          <w:tab w:val="right" w:pos="10080"/>
        </w:tabs>
        <w:contextualSpacing w:val="0"/>
      </w:pPr>
      <w:r w:rsidRPr="00C16FF6">
        <w:rPr>
          <w:szCs w:val="22"/>
        </w:rPr>
        <w:t>Method 7 shall be used to determine the NO</w:t>
      </w:r>
      <w:r w:rsidRPr="00C16FF6">
        <w:rPr>
          <w:szCs w:val="22"/>
          <w:vertAlign w:val="subscript"/>
        </w:rPr>
        <w:t>X</w:t>
      </w:r>
      <w:r w:rsidRPr="00C16FF6">
        <w:rPr>
          <w:szCs w:val="22"/>
        </w:rPr>
        <w:t xml:space="preserve"> concentration.</w:t>
      </w:r>
    </w:p>
    <w:p w14:paraId="421BD5E9" w14:textId="77777777" w:rsidR="006865F8" w:rsidRPr="00C16FF6" w:rsidRDefault="006865F8" w:rsidP="00061DE9">
      <w:pPr>
        <w:numPr>
          <w:ilvl w:val="0"/>
          <w:numId w:val="65"/>
        </w:numPr>
        <w:ind w:left="1440"/>
        <w:rPr>
          <w:szCs w:val="22"/>
        </w:rPr>
      </w:pPr>
      <w:r w:rsidRPr="00C16FF6">
        <w:rPr>
          <w:szCs w:val="22"/>
        </w:rPr>
        <w:t>The sampling site and location shall be the same as for the SO</w:t>
      </w:r>
      <w:r w:rsidRPr="00C16FF6">
        <w:rPr>
          <w:szCs w:val="22"/>
          <w:vertAlign w:val="subscript"/>
        </w:rPr>
        <w:t>2</w:t>
      </w:r>
      <w:r w:rsidRPr="00C16FF6">
        <w:rPr>
          <w:szCs w:val="22"/>
        </w:rPr>
        <w:t xml:space="preserve"> sample.  Each run shall consist of four grab samples, with each sample taken at about 15-minute intervals.</w:t>
      </w:r>
    </w:p>
    <w:p w14:paraId="40EA1EE4" w14:textId="77777777" w:rsidR="006865F8" w:rsidRPr="00C16FF6" w:rsidRDefault="006865F8" w:rsidP="00061DE9">
      <w:pPr>
        <w:numPr>
          <w:ilvl w:val="0"/>
          <w:numId w:val="65"/>
        </w:numPr>
        <w:ind w:left="1440"/>
        <w:rPr>
          <w:szCs w:val="22"/>
        </w:rPr>
      </w:pPr>
      <w:r w:rsidRPr="00C16FF6">
        <w:rPr>
          <w:szCs w:val="22"/>
        </w:rPr>
        <w:t>For each NO</w:t>
      </w:r>
      <w:r w:rsidRPr="00C16FF6">
        <w:rPr>
          <w:szCs w:val="22"/>
          <w:vertAlign w:val="subscript"/>
        </w:rPr>
        <w:t>X</w:t>
      </w:r>
      <w:r w:rsidRPr="00C16FF6">
        <w:rPr>
          <w:szCs w:val="22"/>
        </w:rPr>
        <w:t xml:space="preserve"> sample, the emission rate correction factor, grab sampling and analysis procedure of Method 3B shall be used to determine the O</w:t>
      </w:r>
      <w:r w:rsidRPr="00C16FF6">
        <w:rPr>
          <w:szCs w:val="22"/>
          <w:vertAlign w:val="subscript"/>
        </w:rPr>
        <w:t>2</w:t>
      </w:r>
      <w:r w:rsidRPr="00C16FF6">
        <w:rPr>
          <w:szCs w:val="22"/>
        </w:rPr>
        <w:t xml:space="preserve"> concentration (%O</w:t>
      </w:r>
      <w:r w:rsidRPr="00C16FF6">
        <w:rPr>
          <w:szCs w:val="22"/>
          <w:vertAlign w:val="subscript"/>
        </w:rPr>
        <w:t>2</w:t>
      </w:r>
      <w:r w:rsidRPr="00C16FF6">
        <w:rPr>
          <w:szCs w:val="22"/>
        </w:rPr>
        <w:t>).  The sample shall be taken simultaneously with, and at the same point as, the NO</w:t>
      </w:r>
      <w:r w:rsidRPr="00C16FF6">
        <w:rPr>
          <w:szCs w:val="22"/>
          <w:vertAlign w:val="subscript"/>
        </w:rPr>
        <w:t>X</w:t>
      </w:r>
      <w:r w:rsidRPr="00C16FF6">
        <w:rPr>
          <w:szCs w:val="22"/>
        </w:rPr>
        <w:t xml:space="preserve"> sample.</w:t>
      </w:r>
    </w:p>
    <w:p w14:paraId="70AFE319" w14:textId="77777777" w:rsidR="006865F8" w:rsidRPr="00C16FF6" w:rsidRDefault="006865F8" w:rsidP="00061DE9">
      <w:pPr>
        <w:numPr>
          <w:ilvl w:val="0"/>
          <w:numId w:val="65"/>
        </w:numPr>
        <w:ind w:left="1440"/>
        <w:rPr>
          <w:szCs w:val="22"/>
        </w:rPr>
      </w:pPr>
      <w:r w:rsidRPr="00C16FF6">
        <w:rPr>
          <w:szCs w:val="22"/>
        </w:rPr>
        <w:t>The NO</w:t>
      </w:r>
      <w:r w:rsidRPr="00C16FF6">
        <w:rPr>
          <w:szCs w:val="22"/>
          <w:vertAlign w:val="subscript"/>
        </w:rPr>
        <w:t>X</w:t>
      </w:r>
      <w:r w:rsidRPr="00C16FF6">
        <w:rPr>
          <w:szCs w:val="22"/>
        </w:rPr>
        <w:t xml:space="preserve"> emission rate shall be computed for each pair of NO</w:t>
      </w:r>
      <w:r w:rsidRPr="00C16FF6">
        <w:rPr>
          <w:szCs w:val="22"/>
          <w:vertAlign w:val="subscript"/>
        </w:rPr>
        <w:t>X</w:t>
      </w:r>
      <w:r w:rsidRPr="00C16FF6">
        <w:rPr>
          <w:szCs w:val="22"/>
        </w:rPr>
        <w:t xml:space="preserve"> and O</w:t>
      </w:r>
      <w:r w:rsidRPr="00C16FF6">
        <w:rPr>
          <w:szCs w:val="22"/>
          <w:vertAlign w:val="subscript"/>
        </w:rPr>
        <w:t>2</w:t>
      </w:r>
      <w:r w:rsidRPr="00C16FF6">
        <w:rPr>
          <w:szCs w:val="22"/>
        </w:rPr>
        <w:t xml:space="preserve"> samples.  The NO</w:t>
      </w:r>
      <w:r w:rsidRPr="00C16FF6">
        <w:rPr>
          <w:szCs w:val="22"/>
          <w:vertAlign w:val="subscript"/>
        </w:rPr>
        <w:t>X</w:t>
      </w:r>
      <w:r w:rsidRPr="00C16FF6">
        <w:rPr>
          <w:szCs w:val="22"/>
        </w:rPr>
        <w:t xml:space="preserve"> emission rate (E) for each run shall be the arithmetic mean of the results of the four pairs of samples.</w:t>
      </w:r>
    </w:p>
    <w:p w14:paraId="03F6E49A" w14:textId="1E2CB3AF" w:rsidR="00E82CC1" w:rsidRPr="00076B18" w:rsidRDefault="00E82CC1" w:rsidP="00061DE9">
      <w:pPr>
        <w:pStyle w:val="ListParagraph"/>
        <w:widowControl w:val="0"/>
        <w:numPr>
          <w:ilvl w:val="0"/>
          <w:numId w:val="61"/>
        </w:numPr>
        <w:tabs>
          <w:tab w:val="left" w:pos="360"/>
          <w:tab w:val="left" w:pos="720"/>
          <w:tab w:val="left" w:pos="1080"/>
          <w:tab w:val="left" w:pos="1440"/>
          <w:tab w:val="right" w:pos="10080"/>
        </w:tabs>
      </w:pPr>
      <w:bookmarkStart w:id="73" w:name="_Hlk520122066"/>
      <w:bookmarkEnd w:id="72"/>
      <w:r w:rsidRPr="00C16FF6">
        <w:rPr>
          <w:szCs w:val="22"/>
        </w:rPr>
        <w:t>When combinations of fossil fuels are fired, the owner or operator (in order to compute the prorated standard as shown in 40 CFR 60.43(b) and 60.44(b)) shall determine the percentage (x or y) of the total heat input derived from each type of fuel as follows:</w:t>
      </w:r>
      <w:bookmarkEnd w:id="73"/>
    </w:p>
    <w:p w14:paraId="77B82237" w14:textId="77777777" w:rsidR="006865F8" w:rsidRPr="00C16FF6" w:rsidRDefault="006865F8" w:rsidP="00061DE9">
      <w:pPr>
        <w:numPr>
          <w:ilvl w:val="0"/>
          <w:numId w:val="66"/>
        </w:numPr>
        <w:tabs>
          <w:tab w:val="left" w:pos="1080"/>
        </w:tabs>
        <w:ind w:left="1080" w:hanging="360"/>
        <w:rPr>
          <w:szCs w:val="22"/>
        </w:rPr>
      </w:pPr>
      <w:bookmarkStart w:id="74" w:name="_Hlk520122104"/>
      <w:r w:rsidRPr="00C16FF6">
        <w:rPr>
          <w:szCs w:val="22"/>
        </w:rPr>
        <w:t>The heat input rate of each fuel shall be determined by multiplying the gross calorific value of each fuel fired by the rate of each fuel burned.</w:t>
      </w:r>
    </w:p>
    <w:p w14:paraId="6E05964F" w14:textId="58CD0C42" w:rsidR="006865F8" w:rsidRPr="00C16FF6" w:rsidRDefault="006865F8" w:rsidP="00061DE9">
      <w:pPr>
        <w:numPr>
          <w:ilvl w:val="0"/>
          <w:numId w:val="66"/>
        </w:numPr>
        <w:tabs>
          <w:tab w:val="left" w:pos="1080"/>
        </w:tabs>
        <w:ind w:left="1080" w:hanging="360"/>
        <w:rPr>
          <w:szCs w:val="22"/>
        </w:rPr>
      </w:pPr>
      <w:r w:rsidRPr="00C16FF6">
        <w:rPr>
          <w:szCs w:val="22"/>
        </w:rPr>
        <w:t>ASTM Methods D240-76 (liquid fuels), or D 1826-77 (gaseous fuels) (incorporated by reference-see 40 CFR 60.17) shall be used to determine the gross calorific values of the fuels.</w:t>
      </w:r>
    </w:p>
    <w:p w14:paraId="67643821" w14:textId="77777777" w:rsidR="006865F8" w:rsidRPr="00C16FF6" w:rsidRDefault="006865F8" w:rsidP="00061DE9">
      <w:pPr>
        <w:numPr>
          <w:ilvl w:val="0"/>
          <w:numId w:val="66"/>
        </w:numPr>
        <w:tabs>
          <w:tab w:val="left" w:pos="1080"/>
        </w:tabs>
        <w:ind w:left="1080" w:hanging="360"/>
        <w:rPr>
          <w:szCs w:val="22"/>
        </w:rPr>
      </w:pPr>
      <w:r w:rsidRPr="00C16FF6">
        <w:rPr>
          <w:szCs w:val="22"/>
        </w:rPr>
        <w:t>Suitable methods shall be used to determine the rate of each fuel burned during each test period, and a material balance over the steam generating system shall be used to confirm the rate.</w:t>
      </w:r>
    </w:p>
    <w:p w14:paraId="17E1B1A0" w14:textId="4D5C20B5" w:rsidR="00E82CC1" w:rsidRPr="006865F8" w:rsidRDefault="00E82CC1" w:rsidP="00061DE9">
      <w:pPr>
        <w:pStyle w:val="ListParagraph"/>
        <w:widowControl w:val="0"/>
        <w:numPr>
          <w:ilvl w:val="0"/>
          <w:numId w:val="61"/>
        </w:numPr>
        <w:tabs>
          <w:tab w:val="left" w:pos="360"/>
          <w:tab w:val="left" w:pos="720"/>
          <w:tab w:val="left" w:pos="1080"/>
          <w:tab w:val="left" w:pos="1440"/>
          <w:tab w:val="right" w:pos="10080"/>
        </w:tabs>
        <w:spacing w:after="120"/>
      </w:pPr>
      <w:bookmarkStart w:id="75" w:name="_Hlk520122084"/>
      <w:bookmarkEnd w:id="74"/>
      <w:r w:rsidRPr="00C16FF6">
        <w:rPr>
          <w:szCs w:val="22"/>
        </w:rPr>
        <w:t>The owner or operator may use the following as alternatives to the reference methods and procedures in 40 CFR 60.46 or in other sections as specified:</w:t>
      </w:r>
      <w:bookmarkEnd w:id="75"/>
    </w:p>
    <w:p w14:paraId="625FACB3" w14:textId="3A3E0F1B" w:rsidR="006865F8" w:rsidRPr="006865F8" w:rsidRDefault="006865F8" w:rsidP="00061DE9">
      <w:pPr>
        <w:pStyle w:val="ListParagraph"/>
        <w:widowControl w:val="0"/>
        <w:numPr>
          <w:ilvl w:val="0"/>
          <w:numId w:val="67"/>
        </w:numPr>
        <w:tabs>
          <w:tab w:val="left" w:pos="360"/>
          <w:tab w:val="left" w:pos="720"/>
          <w:tab w:val="left" w:pos="1080"/>
          <w:tab w:val="left" w:pos="1440"/>
          <w:tab w:val="right" w:pos="10080"/>
        </w:tabs>
        <w:spacing w:after="120"/>
      </w:pPr>
      <w:bookmarkStart w:id="76" w:name="_Hlk520122178"/>
      <w:r w:rsidRPr="00C16FF6">
        <w:rPr>
          <w:szCs w:val="22"/>
        </w:rPr>
        <w:t>The emission rate (E) of particulate matter, SO</w:t>
      </w:r>
      <w:r w:rsidRPr="00C16FF6">
        <w:rPr>
          <w:szCs w:val="22"/>
          <w:vertAlign w:val="subscript"/>
        </w:rPr>
        <w:t>2</w:t>
      </w:r>
      <w:r w:rsidRPr="00C16FF6">
        <w:rPr>
          <w:szCs w:val="22"/>
        </w:rPr>
        <w:t xml:space="preserve"> and NO</w:t>
      </w:r>
      <w:r w:rsidRPr="00C16FF6">
        <w:rPr>
          <w:szCs w:val="22"/>
          <w:vertAlign w:val="subscript"/>
        </w:rPr>
        <w:t>X</w:t>
      </w:r>
      <w:r w:rsidRPr="00C16FF6">
        <w:rPr>
          <w:szCs w:val="22"/>
        </w:rPr>
        <w:t xml:space="preserve"> may be determined by using the F</w:t>
      </w:r>
      <w:r w:rsidRPr="00C16FF6">
        <w:rPr>
          <w:szCs w:val="22"/>
          <w:vertAlign w:val="subscript"/>
        </w:rPr>
        <w:t xml:space="preserve">c </w:t>
      </w:r>
      <w:r w:rsidRPr="00C16FF6">
        <w:rPr>
          <w:szCs w:val="22"/>
        </w:rPr>
        <w:t>factor, provided that the following procedure is used:</w:t>
      </w:r>
    </w:p>
    <w:p w14:paraId="79D656EC" w14:textId="2AE20441" w:rsidR="006865F8" w:rsidRPr="006865F8" w:rsidRDefault="006865F8" w:rsidP="00061DE9">
      <w:pPr>
        <w:pStyle w:val="ListParagraph"/>
        <w:widowControl w:val="0"/>
        <w:numPr>
          <w:ilvl w:val="0"/>
          <w:numId w:val="68"/>
        </w:numPr>
        <w:tabs>
          <w:tab w:val="left" w:pos="360"/>
          <w:tab w:val="left" w:pos="720"/>
          <w:tab w:val="left" w:pos="1080"/>
          <w:tab w:val="left" w:pos="1440"/>
          <w:tab w:val="right" w:pos="10080"/>
        </w:tabs>
        <w:spacing w:after="60"/>
        <w:contextualSpacing w:val="0"/>
      </w:pPr>
      <w:r w:rsidRPr="00C16FF6">
        <w:rPr>
          <w:szCs w:val="22"/>
        </w:rPr>
        <w:t>The emission rate (E) shall be computed using the following equation:</w:t>
      </w:r>
    </w:p>
    <w:p w14:paraId="3BCA084E" w14:textId="665E26F4" w:rsidR="006865F8" w:rsidRDefault="006865F8" w:rsidP="006865F8">
      <w:pPr>
        <w:pStyle w:val="ListParagraph"/>
        <w:widowControl w:val="0"/>
        <w:tabs>
          <w:tab w:val="left" w:pos="360"/>
          <w:tab w:val="left" w:pos="720"/>
          <w:tab w:val="left" w:pos="1080"/>
          <w:tab w:val="left" w:pos="1440"/>
          <w:tab w:val="right" w:pos="10080"/>
        </w:tabs>
        <w:ind w:left="1440"/>
        <w:contextualSpacing w:val="0"/>
      </w:pPr>
      <m:oMath>
        <m:r>
          <w:rPr>
            <w:rFonts w:ascii="Cambria Math" w:hAnsi="Cambria Math"/>
          </w:rPr>
          <m:t>E=C</m:t>
        </m:r>
        <m:sSub>
          <m:sSubPr>
            <m:ctrlPr>
              <w:rPr>
                <w:rFonts w:ascii="Cambria Math" w:hAnsi="Cambria Math"/>
                <w:i/>
              </w:rPr>
            </m:ctrlPr>
          </m:sSubPr>
          <m:e>
            <m:r>
              <w:rPr>
                <w:rFonts w:ascii="Cambria Math" w:hAnsi="Cambria Math"/>
              </w:rPr>
              <m:t>F</m:t>
            </m:r>
          </m:e>
          <m:sub>
            <m:r>
              <w:rPr>
                <w:rFonts w:ascii="Cambria Math" w:hAnsi="Cambria Math"/>
              </w:rPr>
              <m:t>c</m:t>
            </m:r>
          </m:sub>
        </m:sSub>
        <m:d>
          <m:dPr>
            <m:ctrlPr>
              <w:rPr>
                <w:rFonts w:ascii="Cambria Math" w:hAnsi="Cambria Math"/>
                <w:i/>
              </w:rPr>
            </m:ctrlPr>
          </m:dPr>
          <m:e>
            <m:f>
              <m:fPr>
                <m:ctrlPr>
                  <w:rPr>
                    <w:rFonts w:ascii="Cambria Math" w:hAnsi="Cambria Math"/>
                    <w:i/>
                  </w:rPr>
                </m:ctrlPr>
              </m:fPr>
              <m:num>
                <m:r>
                  <w:rPr>
                    <w:rFonts w:ascii="Cambria Math" w:hAnsi="Cambria Math"/>
                  </w:rPr>
                  <m:t>100</m:t>
                </m:r>
              </m:num>
              <m:den>
                <m:r>
                  <w:rPr>
                    <w:rFonts w:ascii="Cambria Math" w:hAnsi="Cambria Math"/>
                  </w:rPr>
                  <m:t>%</m:t>
                </m:r>
                <m:sSub>
                  <m:sSubPr>
                    <m:ctrlPr>
                      <w:rPr>
                        <w:rFonts w:ascii="Cambria Math" w:hAnsi="Cambria Math"/>
                        <w:i/>
                      </w:rPr>
                    </m:ctrlPr>
                  </m:sSubPr>
                  <m:e>
                    <m:r>
                      <w:rPr>
                        <w:rFonts w:ascii="Cambria Math" w:hAnsi="Cambria Math"/>
                      </w:rPr>
                      <m:t>CO</m:t>
                    </m:r>
                  </m:e>
                  <m:sub>
                    <m:r>
                      <w:rPr>
                        <w:rFonts w:ascii="Cambria Math" w:hAnsi="Cambria Math"/>
                      </w:rPr>
                      <m:t>2</m:t>
                    </m:r>
                  </m:sub>
                </m:sSub>
              </m:den>
            </m:f>
          </m:e>
        </m:d>
      </m:oMath>
      <w:r>
        <w:t xml:space="preserve"> </w:t>
      </w:r>
    </w:p>
    <w:p w14:paraId="45093B54" w14:textId="70F38693" w:rsidR="006865F8" w:rsidRDefault="006865F8" w:rsidP="006865F8">
      <w:pPr>
        <w:pStyle w:val="ListParagraph"/>
        <w:widowControl w:val="0"/>
        <w:tabs>
          <w:tab w:val="left" w:pos="360"/>
          <w:tab w:val="left" w:pos="720"/>
          <w:tab w:val="left" w:pos="1080"/>
          <w:tab w:val="left" w:pos="1440"/>
          <w:tab w:val="right" w:pos="10080"/>
        </w:tabs>
        <w:ind w:left="1440"/>
        <w:contextualSpacing w:val="0"/>
      </w:pPr>
      <w:r>
        <w:t>Where:</w:t>
      </w:r>
    </w:p>
    <w:p w14:paraId="497EA665" w14:textId="453E6CC5" w:rsidR="006865F8" w:rsidRDefault="006865F8" w:rsidP="006865F8">
      <w:pPr>
        <w:pStyle w:val="ListParagraph"/>
        <w:widowControl w:val="0"/>
        <w:tabs>
          <w:tab w:val="left" w:pos="360"/>
          <w:tab w:val="left" w:pos="720"/>
          <w:tab w:val="left" w:pos="1080"/>
          <w:tab w:val="left" w:pos="1440"/>
          <w:tab w:val="right" w:pos="10080"/>
        </w:tabs>
        <w:ind w:left="1440"/>
        <w:contextualSpacing w:val="0"/>
        <w:rPr>
          <w:szCs w:val="22"/>
        </w:rPr>
      </w:pPr>
      <w:r w:rsidRPr="00C16FF6">
        <w:rPr>
          <w:szCs w:val="22"/>
        </w:rPr>
        <w:t xml:space="preserve">E </w:t>
      </w:r>
      <w:r w:rsidR="002C3870">
        <w:rPr>
          <w:szCs w:val="22"/>
        </w:rPr>
        <w:t>=</w:t>
      </w:r>
      <w:r w:rsidRPr="00C16FF6">
        <w:rPr>
          <w:szCs w:val="22"/>
        </w:rPr>
        <w:t xml:space="preserve"> </w:t>
      </w:r>
      <w:r>
        <w:rPr>
          <w:szCs w:val="22"/>
        </w:rPr>
        <w:t>E</w:t>
      </w:r>
      <w:r w:rsidRPr="00C16FF6">
        <w:rPr>
          <w:szCs w:val="22"/>
        </w:rPr>
        <w:t>mission rate of pollutant, ng/J (lb/million Btu).</w:t>
      </w:r>
    </w:p>
    <w:p w14:paraId="1671C8BC" w14:textId="48BED475" w:rsidR="006865F8" w:rsidRDefault="006865F8" w:rsidP="006865F8">
      <w:pPr>
        <w:pStyle w:val="ListParagraph"/>
        <w:widowControl w:val="0"/>
        <w:tabs>
          <w:tab w:val="left" w:pos="360"/>
          <w:tab w:val="left" w:pos="720"/>
          <w:tab w:val="left" w:pos="1080"/>
          <w:tab w:val="left" w:pos="1440"/>
          <w:tab w:val="right" w:pos="10080"/>
        </w:tabs>
        <w:ind w:left="1440"/>
        <w:contextualSpacing w:val="0"/>
        <w:rPr>
          <w:szCs w:val="22"/>
        </w:rPr>
      </w:pPr>
      <w:r w:rsidRPr="00C16FF6">
        <w:rPr>
          <w:szCs w:val="22"/>
        </w:rPr>
        <w:t xml:space="preserve">C = </w:t>
      </w:r>
      <w:r>
        <w:rPr>
          <w:szCs w:val="22"/>
        </w:rPr>
        <w:t>C</w:t>
      </w:r>
      <w:r w:rsidRPr="00C16FF6">
        <w:rPr>
          <w:szCs w:val="22"/>
        </w:rPr>
        <w:t>oncentration of pollutant, ng/dscm (lb/dscf).</w:t>
      </w:r>
    </w:p>
    <w:p w14:paraId="24394029" w14:textId="15F1F838" w:rsidR="006865F8" w:rsidRPr="002A679B" w:rsidRDefault="006865F8" w:rsidP="006865F8">
      <w:pPr>
        <w:ind w:left="1440"/>
        <w:outlineLvl w:val="0"/>
        <w:rPr>
          <w:szCs w:val="22"/>
        </w:rPr>
      </w:pPr>
      <w:r w:rsidRPr="00C16FF6">
        <w:rPr>
          <w:szCs w:val="22"/>
        </w:rPr>
        <w:t>%CO</w:t>
      </w:r>
      <w:r w:rsidRPr="00C16FF6">
        <w:rPr>
          <w:szCs w:val="22"/>
          <w:vertAlign w:val="subscript"/>
        </w:rPr>
        <w:t>2</w:t>
      </w:r>
      <w:r w:rsidRPr="00C16FF6">
        <w:rPr>
          <w:szCs w:val="22"/>
        </w:rPr>
        <w:t xml:space="preserve"> = </w:t>
      </w:r>
      <w:r w:rsidRPr="002A679B">
        <w:rPr>
          <w:szCs w:val="22"/>
        </w:rPr>
        <w:t>CO</w:t>
      </w:r>
      <w:r w:rsidRPr="002A679B">
        <w:rPr>
          <w:szCs w:val="22"/>
          <w:vertAlign w:val="subscript"/>
        </w:rPr>
        <w:t>2</w:t>
      </w:r>
      <w:r w:rsidRPr="002A679B">
        <w:rPr>
          <w:szCs w:val="22"/>
        </w:rPr>
        <w:t xml:space="preserve"> concentration, percent dry basis.</w:t>
      </w:r>
    </w:p>
    <w:p w14:paraId="435F3A17" w14:textId="30046E6B" w:rsidR="006865F8" w:rsidRPr="002A679B" w:rsidRDefault="006865F8" w:rsidP="006865F8">
      <w:pPr>
        <w:ind w:left="1440"/>
        <w:outlineLvl w:val="0"/>
        <w:rPr>
          <w:szCs w:val="22"/>
        </w:rPr>
      </w:pPr>
      <w:r w:rsidRPr="002A679B">
        <w:rPr>
          <w:szCs w:val="22"/>
        </w:rPr>
        <w:t>F</w:t>
      </w:r>
      <w:r w:rsidRPr="002A679B">
        <w:rPr>
          <w:szCs w:val="22"/>
          <w:vertAlign w:val="subscript"/>
        </w:rPr>
        <w:t>c</w:t>
      </w:r>
      <w:r w:rsidRPr="002A679B">
        <w:rPr>
          <w:szCs w:val="22"/>
        </w:rPr>
        <w:t xml:space="preserve"> = factor as determined in appropriate sections of Method 19 of appendix A of </w:t>
      </w:r>
      <w:r w:rsidR="002C3870" w:rsidRPr="002A679B">
        <w:rPr>
          <w:szCs w:val="22"/>
        </w:rPr>
        <w:t>40 CFR 60</w:t>
      </w:r>
      <w:r w:rsidRPr="002A679B">
        <w:rPr>
          <w:szCs w:val="22"/>
        </w:rPr>
        <w:t>.</w:t>
      </w:r>
    </w:p>
    <w:p w14:paraId="31AADBEE" w14:textId="7B3392DF" w:rsidR="006865F8" w:rsidRPr="002C3870" w:rsidRDefault="002C3870" w:rsidP="00061DE9">
      <w:pPr>
        <w:pStyle w:val="ListParagraph"/>
        <w:widowControl w:val="0"/>
        <w:numPr>
          <w:ilvl w:val="0"/>
          <w:numId w:val="68"/>
        </w:numPr>
        <w:tabs>
          <w:tab w:val="left" w:pos="360"/>
          <w:tab w:val="left" w:pos="720"/>
          <w:tab w:val="left" w:pos="1080"/>
          <w:tab w:val="left" w:pos="1440"/>
          <w:tab w:val="right" w:pos="10080"/>
        </w:tabs>
        <w:spacing w:after="120"/>
      </w:pPr>
      <w:r w:rsidRPr="002A679B">
        <w:rPr>
          <w:szCs w:val="22"/>
        </w:rPr>
        <w:t>If and only if the average F</w:t>
      </w:r>
      <w:r w:rsidRPr="002A679B">
        <w:rPr>
          <w:szCs w:val="22"/>
          <w:vertAlign w:val="subscript"/>
        </w:rPr>
        <w:t>c</w:t>
      </w:r>
      <w:r w:rsidRPr="002A679B">
        <w:rPr>
          <w:szCs w:val="22"/>
        </w:rPr>
        <w:t xml:space="preserve"> factor in Method 19 is used to calculate E and either E is from 0.97 to 1.00 of the emission standard or the relative accuracy of CEMS is from 17 to 20 percent, then three runs of Method 3B of appendix A of 40 CFR 60 shall be used to determine the O</w:t>
      </w:r>
      <w:r w:rsidRPr="002A679B">
        <w:rPr>
          <w:szCs w:val="22"/>
          <w:vertAlign w:val="subscript"/>
        </w:rPr>
        <w:t>2</w:t>
      </w:r>
      <w:r w:rsidRPr="002A679B">
        <w:rPr>
          <w:szCs w:val="22"/>
        </w:rPr>
        <w:t xml:space="preserve"> and CO</w:t>
      </w:r>
      <w:r w:rsidRPr="002A679B">
        <w:rPr>
          <w:szCs w:val="22"/>
          <w:vertAlign w:val="subscript"/>
        </w:rPr>
        <w:t>2</w:t>
      </w:r>
      <w:r w:rsidRPr="002A679B">
        <w:rPr>
          <w:szCs w:val="22"/>
        </w:rPr>
        <w:t xml:space="preserve"> concentration according to the procedures in 40 CFR 60.46(b) (2)(ii), (4)(ii), or (5)(ii).  Then if </w:t>
      </w:r>
      <w:proofErr w:type="spellStart"/>
      <w:r w:rsidRPr="002A679B">
        <w:rPr>
          <w:szCs w:val="22"/>
        </w:rPr>
        <w:t>F</w:t>
      </w:r>
      <w:r w:rsidRPr="002A679B">
        <w:rPr>
          <w:szCs w:val="22"/>
          <w:vertAlign w:val="subscript"/>
        </w:rPr>
        <w:t>o</w:t>
      </w:r>
      <w:proofErr w:type="spellEnd"/>
      <w:r w:rsidRPr="002A679B">
        <w:rPr>
          <w:szCs w:val="22"/>
        </w:rPr>
        <w:t xml:space="preserve"> (average of three runs), as calculated from the equation in Method 3B of appendix A of 40 CFR 60, is more than </w:t>
      </w:r>
      <w:r w:rsidRPr="002A679B">
        <w:rPr>
          <w:szCs w:val="22"/>
        </w:rPr>
        <w:fldChar w:fldCharType="begin"/>
      </w:r>
      <w:r w:rsidRPr="002A679B">
        <w:rPr>
          <w:szCs w:val="22"/>
        </w:rPr>
        <w:instrText>symbol 177 \f "Symbol" \s 11</w:instrText>
      </w:r>
      <w:r w:rsidRPr="002A679B">
        <w:rPr>
          <w:szCs w:val="22"/>
        </w:rPr>
        <w:fldChar w:fldCharType="end"/>
      </w:r>
      <w:r w:rsidRPr="002A679B">
        <w:rPr>
          <w:szCs w:val="22"/>
        </w:rPr>
        <w:t xml:space="preserve"> 3 percent than the average </w:t>
      </w:r>
      <w:proofErr w:type="spellStart"/>
      <w:r w:rsidRPr="002A679B">
        <w:rPr>
          <w:szCs w:val="22"/>
        </w:rPr>
        <w:t>F</w:t>
      </w:r>
      <w:r w:rsidRPr="002A679B">
        <w:rPr>
          <w:szCs w:val="22"/>
          <w:vertAlign w:val="subscript"/>
        </w:rPr>
        <w:t>o</w:t>
      </w:r>
      <w:proofErr w:type="spellEnd"/>
      <w:r w:rsidRPr="002A679B">
        <w:rPr>
          <w:szCs w:val="22"/>
        </w:rPr>
        <w:t xml:space="preserve"> value, as determined from the average values of </w:t>
      </w:r>
      <w:proofErr w:type="spellStart"/>
      <w:r w:rsidRPr="002A679B">
        <w:rPr>
          <w:szCs w:val="22"/>
        </w:rPr>
        <w:t>F</w:t>
      </w:r>
      <w:r w:rsidRPr="002A679B">
        <w:rPr>
          <w:szCs w:val="22"/>
          <w:vertAlign w:val="subscript"/>
        </w:rPr>
        <w:t>d</w:t>
      </w:r>
      <w:proofErr w:type="spellEnd"/>
      <w:r w:rsidRPr="002A679B">
        <w:rPr>
          <w:szCs w:val="22"/>
        </w:rPr>
        <w:t xml:space="preserve"> and F</w:t>
      </w:r>
      <w:r w:rsidRPr="002A679B">
        <w:rPr>
          <w:szCs w:val="22"/>
          <w:vertAlign w:val="subscript"/>
        </w:rPr>
        <w:t>c</w:t>
      </w:r>
      <w:r w:rsidRPr="002A679B">
        <w:rPr>
          <w:szCs w:val="22"/>
        </w:rPr>
        <w:t xml:space="preserve"> in Method 19, i.e., </w:t>
      </w:r>
      <w:proofErr w:type="spellStart"/>
      <w:r w:rsidRPr="002A679B">
        <w:rPr>
          <w:szCs w:val="22"/>
        </w:rPr>
        <w:t>F</w:t>
      </w:r>
      <w:r w:rsidRPr="002A679B">
        <w:rPr>
          <w:szCs w:val="22"/>
          <w:vertAlign w:val="subscript"/>
        </w:rPr>
        <w:t>oa</w:t>
      </w:r>
      <w:proofErr w:type="spellEnd"/>
      <w:r w:rsidRPr="002A679B">
        <w:rPr>
          <w:szCs w:val="22"/>
        </w:rPr>
        <w:t xml:space="preserve"> = 0.209 (</w:t>
      </w:r>
      <w:proofErr w:type="spellStart"/>
      <w:r w:rsidRPr="002A679B">
        <w:rPr>
          <w:szCs w:val="22"/>
        </w:rPr>
        <w:t>F</w:t>
      </w:r>
      <w:r w:rsidRPr="002A679B">
        <w:rPr>
          <w:szCs w:val="22"/>
          <w:vertAlign w:val="subscript"/>
        </w:rPr>
        <w:t>da</w:t>
      </w:r>
      <w:proofErr w:type="spellEnd"/>
      <w:r w:rsidRPr="002A679B">
        <w:rPr>
          <w:szCs w:val="22"/>
        </w:rPr>
        <w:t xml:space="preserve"> /</w:t>
      </w:r>
      <w:r w:rsidRPr="00C16FF6">
        <w:rPr>
          <w:szCs w:val="22"/>
        </w:rPr>
        <w:t xml:space="preserve"> </w:t>
      </w:r>
      <w:proofErr w:type="spellStart"/>
      <w:r w:rsidRPr="00C16FF6">
        <w:rPr>
          <w:szCs w:val="22"/>
        </w:rPr>
        <w:t>F</w:t>
      </w:r>
      <w:r w:rsidRPr="00C16FF6">
        <w:rPr>
          <w:szCs w:val="22"/>
          <w:vertAlign w:val="subscript"/>
        </w:rPr>
        <w:t>ca</w:t>
      </w:r>
      <w:proofErr w:type="spellEnd"/>
      <w:r w:rsidRPr="00C16FF6">
        <w:rPr>
          <w:szCs w:val="22"/>
        </w:rPr>
        <w:t>), then the following procedure shall be followed:</w:t>
      </w:r>
    </w:p>
    <w:p w14:paraId="00979989" w14:textId="6BAEB392" w:rsidR="002C3870" w:rsidRPr="002C3870" w:rsidRDefault="002C3870" w:rsidP="00061DE9">
      <w:pPr>
        <w:pStyle w:val="ListParagraph"/>
        <w:widowControl w:val="0"/>
        <w:numPr>
          <w:ilvl w:val="0"/>
          <w:numId w:val="69"/>
        </w:numPr>
        <w:tabs>
          <w:tab w:val="left" w:pos="360"/>
          <w:tab w:val="left" w:pos="720"/>
          <w:tab w:val="left" w:pos="1080"/>
          <w:tab w:val="left" w:pos="1440"/>
          <w:tab w:val="right" w:pos="10080"/>
        </w:tabs>
        <w:contextualSpacing w:val="0"/>
      </w:pPr>
      <w:r w:rsidRPr="00C16FF6">
        <w:rPr>
          <w:szCs w:val="22"/>
        </w:rPr>
        <w:t xml:space="preserve">When </w:t>
      </w:r>
      <w:proofErr w:type="spellStart"/>
      <w:r w:rsidRPr="00C16FF6">
        <w:rPr>
          <w:szCs w:val="22"/>
        </w:rPr>
        <w:t>F</w:t>
      </w:r>
      <w:r w:rsidRPr="00C16FF6">
        <w:rPr>
          <w:szCs w:val="22"/>
          <w:vertAlign w:val="subscript"/>
        </w:rPr>
        <w:t>o</w:t>
      </w:r>
      <w:proofErr w:type="spellEnd"/>
      <w:r w:rsidRPr="00C16FF6">
        <w:rPr>
          <w:szCs w:val="22"/>
        </w:rPr>
        <w:t xml:space="preserve"> is less than 0.97 </w:t>
      </w:r>
      <w:proofErr w:type="spellStart"/>
      <w:r w:rsidRPr="00C16FF6">
        <w:rPr>
          <w:szCs w:val="22"/>
        </w:rPr>
        <w:t>F</w:t>
      </w:r>
      <w:r w:rsidRPr="00C16FF6">
        <w:rPr>
          <w:szCs w:val="22"/>
          <w:vertAlign w:val="subscript"/>
        </w:rPr>
        <w:t>oa</w:t>
      </w:r>
      <w:proofErr w:type="spellEnd"/>
      <w:r w:rsidRPr="00C16FF6">
        <w:rPr>
          <w:szCs w:val="22"/>
        </w:rPr>
        <w:t xml:space="preserve">, then </w:t>
      </w:r>
      <w:proofErr w:type="spellStart"/>
      <w:r w:rsidRPr="00C16FF6">
        <w:rPr>
          <w:szCs w:val="22"/>
        </w:rPr>
        <w:t>E</w:t>
      </w:r>
      <w:proofErr w:type="spellEnd"/>
      <w:r w:rsidRPr="00C16FF6">
        <w:rPr>
          <w:szCs w:val="22"/>
        </w:rPr>
        <w:t xml:space="preserve"> shall be increased by that proportion under 0.97 </w:t>
      </w:r>
      <w:proofErr w:type="spellStart"/>
      <w:r w:rsidRPr="00C16FF6">
        <w:rPr>
          <w:szCs w:val="22"/>
        </w:rPr>
        <w:t>F</w:t>
      </w:r>
      <w:r w:rsidRPr="00C16FF6">
        <w:rPr>
          <w:szCs w:val="22"/>
          <w:vertAlign w:val="subscript"/>
        </w:rPr>
        <w:t>oa</w:t>
      </w:r>
      <w:proofErr w:type="spellEnd"/>
      <w:r w:rsidRPr="00C16FF6">
        <w:rPr>
          <w:szCs w:val="22"/>
        </w:rPr>
        <w:t xml:space="preserve">, e.g., if </w:t>
      </w:r>
      <w:proofErr w:type="spellStart"/>
      <w:r w:rsidRPr="00C16FF6">
        <w:rPr>
          <w:szCs w:val="22"/>
        </w:rPr>
        <w:t>F</w:t>
      </w:r>
      <w:r w:rsidRPr="00C16FF6">
        <w:rPr>
          <w:szCs w:val="22"/>
          <w:vertAlign w:val="subscript"/>
        </w:rPr>
        <w:t>o</w:t>
      </w:r>
      <w:proofErr w:type="spellEnd"/>
      <w:r w:rsidRPr="00C16FF6">
        <w:rPr>
          <w:szCs w:val="22"/>
        </w:rPr>
        <w:t xml:space="preserve"> is 0.95 </w:t>
      </w:r>
      <w:proofErr w:type="spellStart"/>
      <w:r w:rsidRPr="00C16FF6">
        <w:rPr>
          <w:szCs w:val="22"/>
        </w:rPr>
        <w:t>F</w:t>
      </w:r>
      <w:r w:rsidRPr="00C16FF6">
        <w:rPr>
          <w:szCs w:val="22"/>
          <w:vertAlign w:val="subscript"/>
        </w:rPr>
        <w:t>oa</w:t>
      </w:r>
      <w:proofErr w:type="spellEnd"/>
      <w:r w:rsidRPr="00C16FF6">
        <w:rPr>
          <w:szCs w:val="22"/>
        </w:rPr>
        <w:t>, E shall be increased by 2 percent. This recalculated value shall be used to determine compliance with the emission standard.</w:t>
      </w:r>
    </w:p>
    <w:p w14:paraId="158B4308" w14:textId="77777777" w:rsidR="002C3870" w:rsidRPr="00C16FF6" w:rsidRDefault="002C3870" w:rsidP="00061DE9">
      <w:pPr>
        <w:pStyle w:val="ListParagraph"/>
        <w:widowControl w:val="0"/>
        <w:numPr>
          <w:ilvl w:val="0"/>
          <w:numId w:val="69"/>
        </w:numPr>
        <w:tabs>
          <w:tab w:val="left" w:pos="360"/>
          <w:tab w:val="left" w:pos="720"/>
          <w:tab w:val="left" w:pos="1080"/>
          <w:tab w:val="left" w:pos="1440"/>
          <w:tab w:val="right" w:pos="10080"/>
        </w:tabs>
        <w:contextualSpacing w:val="0"/>
        <w:rPr>
          <w:szCs w:val="22"/>
        </w:rPr>
      </w:pPr>
      <w:r w:rsidRPr="00C16FF6">
        <w:rPr>
          <w:szCs w:val="22"/>
        </w:rPr>
        <w:t xml:space="preserve">When </w:t>
      </w:r>
      <w:proofErr w:type="spellStart"/>
      <w:r w:rsidRPr="00C16FF6">
        <w:rPr>
          <w:szCs w:val="22"/>
        </w:rPr>
        <w:t>F</w:t>
      </w:r>
      <w:r w:rsidRPr="00C16FF6">
        <w:rPr>
          <w:szCs w:val="22"/>
          <w:vertAlign w:val="subscript"/>
        </w:rPr>
        <w:t>o</w:t>
      </w:r>
      <w:proofErr w:type="spellEnd"/>
      <w:r w:rsidRPr="00C16FF6">
        <w:rPr>
          <w:szCs w:val="22"/>
        </w:rPr>
        <w:t xml:space="preserve"> is less than 0.97 </w:t>
      </w:r>
      <w:proofErr w:type="spellStart"/>
      <w:r w:rsidRPr="00C16FF6">
        <w:rPr>
          <w:szCs w:val="22"/>
        </w:rPr>
        <w:t>F</w:t>
      </w:r>
      <w:r w:rsidRPr="00C16FF6">
        <w:rPr>
          <w:szCs w:val="22"/>
          <w:vertAlign w:val="subscript"/>
        </w:rPr>
        <w:t>oa</w:t>
      </w:r>
      <w:proofErr w:type="spellEnd"/>
      <w:r w:rsidRPr="00C16FF6">
        <w:rPr>
          <w:szCs w:val="22"/>
        </w:rPr>
        <w:t xml:space="preserve"> and when the average difference (</w:t>
      </w:r>
      <w:r w:rsidRPr="00C16FF6">
        <w:rPr>
          <w:szCs w:val="22"/>
        </w:rPr>
        <w:object w:dxaOrig="220" w:dyaOrig="320" w14:anchorId="04BD53AB">
          <v:shape id="_x0000_i1033" type="#_x0000_t75" style="width:11pt;height:15pt" o:ole="" fillcolor="window">
            <v:imagedata r:id="rId43" o:title=""/>
          </v:shape>
          <o:OLEObject Type="Embed" ProgID="Equation.2" ShapeID="_x0000_i1033" DrawAspect="Content" ObjectID="_1602926815" r:id="rId44"/>
        </w:object>
      </w:r>
      <w:r w:rsidRPr="00C16FF6">
        <w:rPr>
          <w:szCs w:val="22"/>
        </w:rPr>
        <w:t xml:space="preserve">) between the continuous monitor minus the reference methods is negative, then </w:t>
      </w:r>
      <w:proofErr w:type="spellStart"/>
      <w:r w:rsidRPr="00C16FF6">
        <w:rPr>
          <w:szCs w:val="22"/>
        </w:rPr>
        <w:t>E</w:t>
      </w:r>
      <w:proofErr w:type="spellEnd"/>
      <w:r w:rsidRPr="00C16FF6">
        <w:rPr>
          <w:szCs w:val="22"/>
        </w:rPr>
        <w:t xml:space="preserve"> shall be increased by that proportion under 0.97 </w:t>
      </w:r>
      <w:proofErr w:type="spellStart"/>
      <w:r w:rsidRPr="00C16FF6">
        <w:rPr>
          <w:szCs w:val="22"/>
        </w:rPr>
        <w:t>F</w:t>
      </w:r>
      <w:r w:rsidRPr="00C16FF6">
        <w:rPr>
          <w:szCs w:val="22"/>
          <w:vertAlign w:val="subscript"/>
        </w:rPr>
        <w:t>oa</w:t>
      </w:r>
      <w:proofErr w:type="spellEnd"/>
      <w:r w:rsidRPr="00C16FF6">
        <w:rPr>
          <w:szCs w:val="22"/>
        </w:rPr>
        <w:t xml:space="preserve">, e.g., if </w:t>
      </w:r>
      <w:proofErr w:type="spellStart"/>
      <w:r w:rsidRPr="00C16FF6">
        <w:rPr>
          <w:szCs w:val="22"/>
        </w:rPr>
        <w:t>Fo</w:t>
      </w:r>
      <w:proofErr w:type="spellEnd"/>
      <w:r w:rsidRPr="00C16FF6">
        <w:rPr>
          <w:szCs w:val="22"/>
        </w:rPr>
        <w:t xml:space="preserve"> is 0.95 </w:t>
      </w:r>
      <w:proofErr w:type="spellStart"/>
      <w:r w:rsidRPr="00C16FF6">
        <w:rPr>
          <w:szCs w:val="22"/>
        </w:rPr>
        <w:t>F</w:t>
      </w:r>
      <w:r w:rsidRPr="00C16FF6">
        <w:rPr>
          <w:szCs w:val="22"/>
          <w:vertAlign w:val="subscript"/>
        </w:rPr>
        <w:t>oa</w:t>
      </w:r>
      <w:proofErr w:type="spellEnd"/>
      <w:r w:rsidRPr="00C16FF6">
        <w:rPr>
          <w:szCs w:val="22"/>
        </w:rPr>
        <w:t>, E shall be increased by 2 percent.  This recalculated value shall be used to determine compliance with the relative accuracy specification.</w:t>
      </w:r>
    </w:p>
    <w:p w14:paraId="1A9743FA" w14:textId="77777777" w:rsidR="002C3870" w:rsidRPr="00C16FF6" w:rsidRDefault="002C3870" w:rsidP="00061DE9">
      <w:pPr>
        <w:pStyle w:val="ListParagraph"/>
        <w:widowControl w:val="0"/>
        <w:numPr>
          <w:ilvl w:val="0"/>
          <w:numId w:val="69"/>
        </w:numPr>
        <w:tabs>
          <w:tab w:val="left" w:pos="360"/>
          <w:tab w:val="left" w:pos="720"/>
          <w:tab w:val="left" w:pos="1080"/>
          <w:tab w:val="left" w:pos="1440"/>
          <w:tab w:val="right" w:pos="10080"/>
        </w:tabs>
        <w:contextualSpacing w:val="0"/>
        <w:rPr>
          <w:szCs w:val="22"/>
        </w:rPr>
      </w:pPr>
      <w:r w:rsidRPr="00C16FF6">
        <w:rPr>
          <w:szCs w:val="22"/>
        </w:rPr>
        <w:t xml:space="preserve">When </w:t>
      </w:r>
      <w:proofErr w:type="spellStart"/>
      <w:r w:rsidRPr="00C16FF6">
        <w:rPr>
          <w:szCs w:val="22"/>
        </w:rPr>
        <w:t>F</w:t>
      </w:r>
      <w:r w:rsidRPr="00C16FF6">
        <w:rPr>
          <w:szCs w:val="22"/>
          <w:vertAlign w:val="subscript"/>
        </w:rPr>
        <w:t>o</w:t>
      </w:r>
      <w:proofErr w:type="spellEnd"/>
      <w:r w:rsidRPr="00C16FF6">
        <w:rPr>
          <w:szCs w:val="22"/>
        </w:rPr>
        <w:t xml:space="preserve"> is greater than 1.03 </w:t>
      </w:r>
      <w:proofErr w:type="spellStart"/>
      <w:r w:rsidRPr="00C16FF6">
        <w:rPr>
          <w:szCs w:val="22"/>
        </w:rPr>
        <w:t>F</w:t>
      </w:r>
      <w:r w:rsidRPr="00C16FF6">
        <w:rPr>
          <w:szCs w:val="22"/>
          <w:vertAlign w:val="subscript"/>
        </w:rPr>
        <w:t>oa</w:t>
      </w:r>
      <w:proofErr w:type="spellEnd"/>
      <w:r w:rsidRPr="00C16FF6">
        <w:rPr>
          <w:szCs w:val="22"/>
        </w:rPr>
        <w:t xml:space="preserve"> and when </w:t>
      </w:r>
      <w:r w:rsidRPr="00C16FF6">
        <w:rPr>
          <w:szCs w:val="22"/>
        </w:rPr>
        <w:object w:dxaOrig="220" w:dyaOrig="320" w14:anchorId="6E3F82D6">
          <v:shape id="_x0000_i1034" type="#_x0000_t75" style="width:11pt;height:15pt" o:ole="" fillcolor="window">
            <v:imagedata r:id="rId43" o:title=""/>
          </v:shape>
          <o:OLEObject Type="Embed" ProgID="Equation.2" ShapeID="_x0000_i1034" DrawAspect="Content" ObjectID="_1602926816" r:id="rId45"/>
        </w:object>
      </w:r>
      <w:r w:rsidRPr="00C16FF6">
        <w:rPr>
          <w:szCs w:val="22"/>
        </w:rPr>
        <w:t xml:space="preserve"> is positive, then </w:t>
      </w:r>
      <w:proofErr w:type="spellStart"/>
      <w:r w:rsidRPr="00C16FF6">
        <w:rPr>
          <w:szCs w:val="22"/>
        </w:rPr>
        <w:t>E</w:t>
      </w:r>
      <w:proofErr w:type="spellEnd"/>
      <w:r w:rsidRPr="00C16FF6">
        <w:rPr>
          <w:szCs w:val="22"/>
        </w:rPr>
        <w:t xml:space="preserve"> shall be decreased by that proportion over 1.03 </w:t>
      </w:r>
      <w:proofErr w:type="spellStart"/>
      <w:r w:rsidRPr="00C16FF6">
        <w:rPr>
          <w:szCs w:val="22"/>
        </w:rPr>
        <w:t>F</w:t>
      </w:r>
      <w:r w:rsidRPr="00C16FF6">
        <w:rPr>
          <w:szCs w:val="22"/>
          <w:vertAlign w:val="subscript"/>
        </w:rPr>
        <w:t>oa</w:t>
      </w:r>
      <w:proofErr w:type="spellEnd"/>
      <w:r w:rsidRPr="00C16FF6">
        <w:rPr>
          <w:szCs w:val="22"/>
        </w:rPr>
        <w:t xml:space="preserve">, e.g., if </w:t>
      </w:r>
      <w:proofErr w:type="spellStart"/>
      <w:r w:rsidRPr="00C16FF6">
        <w:rPr>
          <w:szCs w:val="22"/>
        </w:rPr>
        <w:t>F</w:t>
      </w:r>
      <w:r w:rsidRPr="00C16FF6">
        <w:rPr>
          <w:szCs w:val="22"/>
          <w:vertAlign w:val="subscript"/>
        </w:rPr>
        <w:t>o</w:t>
      </w:r>
      <w:proofErr w:type="spellEnd"/>
      <w:r w:rsidRPr="00C16FF6">
        <w:rPr>
          <w:szCs w:val="22"/>
        </w:rPr>
        <w:t xml:space="preserve"> is 1.05 </w:t>
      </w:r>
      <w:proofErr w:type="spellStart"/>
      <w:r w:rsidRPr="00C16FF6">
        <w:rPr>
          <w:szCs w:val="22"/>
        </w:rPr>
        <w:t>F</w:t>
      </w:r>
      <w:r w:rsidRPr="00C16FF6">
        <w:rPr>
          <w:szCs w:val="22"/>
          <w:vertAlign w:val="subscript"/>
        </w:rPr>
        <w:t>oa</w:t>
      </w:r>
      <w:proofErr w:type="spellEnd"/>
      <w:r w:rsidRPr="00C16FF6">
        <w:rPr>
          <w:szCs w:val="22"/>
        </w:rPr>
        <w:t>, E shall be decreased by 2 percent.  This recalculated value shall be used to determine compliance with the relative accuracy specification.</w:t>
      </w:r>
    </w:p>
    <w:p w14:paraId="77D4E6BA" w14:textId="7B1040B2" w:rsidR="006865F8" w:rsidRPr="003D1677" w:rsidRDefault="00942FD5" w:rsidP="00061DE9">
      <w:pPr>
        <w:pStyle w:val="ListParagraph"/>
        <w:widowControl w:val="0"/>
        <w:numPr>
          <w:ilvl w:val="0"/>
          <w:numId w:val="67"/>
        </w:numPr>
        <w:tabs>
          <w:tab w:val="left" w:pos="360"/>
          <w:tab w:val="left" w:pos="720"/>
          <w:tab w:val="left" w:pos="1080"/>
          <w:tab w:val="left" w:pos="1440"/>
          <w:tab w:val="right" w:pos="10080"/>
        </w:tabs>
        <w:spacing w:after="120"/>
      </w:pPr>
      <w:r w:rsidRPr="00565ED9">
        <w:rPr>
          <w:szCs w:val="22"/>
        </w:rPr>
        <w:t>For Method 5 or 5B, Method 17 may be used at facilities with or without wet FGD systems if the stack gas temperature at the sampling location does not exceed an average temperature of 160</w:t>
      </w:r>
      <w:r>
        <w:rPr>
          <w:szCs w:val="22"/>
        </w:rPr>
        <w:t>⁰</w:t>
      </w:r>
      <w:r w:rsidRPr="00565ED9">
        <w:rPr>
          <w:szCs w:val="22"/>
        </w:rPr>
        <w:t>C (320</w:t>
      </w:r>
      <w:r>
        <w:rPr>
          <w:szCs w:val="22"/>
        </w:rPr>
        <w:t>⁰</w:t>
      </w:r>
      <w:r w:rsidRPr="00565ED9">
        <w:rPr>
          <w:szCs w:val="22"/>
        </w:rPr>
        <w:t>F).  The procedures of sections 2.1 and 2.3 of Method 5B may be used with Method 17 only if it is used after wet FGD systems.  Method 17 shall not be used after wet FGD systems if the effluent gas is saturated or laden with water droplets.</w:t>
      </w:r>
    </w:p>
    <w:p w14:paraId="0143D60D" w14:textId="03AD3F04" w:rsidR="003D1677" w:rsidRPr="002A679B" w:rsidRDefault="003D1677" w:rsidP="00061DE9">
      <w:pPr>
        <w:pStyle w:val="ListParagraph"/>
        <w:widowControl w:val="0"/>
        <w:numPr>
          <w:ilvl w:val="0"/>
          <w:numId w:val="67"/>
        </w:numPr>
        <w:tabs>
          <w:tab w:val="left" w:pos="360"/>
          <w:tab w:val="left" w:pos="720"/>
          <w:tab w:val="left" w:pos="1080"/>
          <w:tab w:val="left" w:pos="1440"/>
          <w:tab w:val="right" w:pos="10080"/>
        </w:tabs>
        <w:spacing w:after="120"/>
      </w:pPr>
      <w:r w:rsidRPr="002A679B">
        <w:rPr>
          <w:szCs w:val="22"/>
        </w:rPr>
        <w:t>PM and SO</w:t>
      </w:r>
      <w:r w:rsidRPr="002A679B">
        <w:rPr>
          <w:szCs w:val="22"/>
          <w:vertAlign w:val="subscript"/>
        </w:rPr>
        <w:t>2</w:t>
      </w:r>
      <w:r w:rsidRPr="002A679B">
        <w:rPr>
          <w:szCs w:val="22"/>
        </w:rPr>
        <w:t xml:space="preserve"> may be determined simultaneously with the Method 5 of appendix A of 40 CFR 60 train provided that the following changes are made:</w:t>
      </w:r>
    </w:p>
    <w:p w14:paraId="15A7D425" w14:textId="01DC7770" w:rsidR="003D1677" w:rsidRPr="003D1677" w:rsidRDefault="003D1677" w:rsidP="00061DE9">
      <w:pPr>
        <w:pStyle w:val="ListParagraph"/>
        <w:widowControl w:val="0"/>
        <w:numPr>
          <w:ilvl w:val="0"/>
          <w:numId w:val="70"/>
        </w:numPr>
        <w:tabs>
          <w:tab w:val="left" w:pos="360"/>
          <w:tab w:val="left" w:pos="720"/>
          <w:tab w:val="left" w:pos="1080"/>
          <w:tab w:val="left" w:pos="1440"/>
          <w:tab w:val="right" w:pos="10080"/>
        </w:tabs>
        <w:spacing w:after="120"/>
      </w:pPr>
      <w:r w:rsidRPr="00C16FF6">
        <w:rPr>
          <w:szCs w:val="22"/>
        </w:rPr>
        <w:t>The filter and impinger apparatus in sections 2.1.5 and 2.1.6 of Method 8 is used in place of the condenser (section 2.1.7) of Method 5.</w:t>
      </w:r>
    </w:p>
    <w:p w14:paraId="01DEBEE3" w14:textId="0F5C70D6" w:rsidR="003D1677" w:rsidRPr="003D1677" w:rsidRDefault="003D1677" w:rsidP="00061DE9">
      <w:pPr>
        <w:pStyle w:val="ListParagraph"/>
        <w:widowControl w:val="0"/>
        <w:numPr>
          <w:ilvl w:val="0"/>
          <w:numId w:val="70"/>
        </w:numPr>
        <w:tabs>
          <w:tab w:val="left" w:pos="360"/>
          <w:tab w:val="left" w:pos="720"/>
          <w:tab w:val="left" w:pos="1080"/>
          <w:tab w:val="left" w:pos="1440"/>
          <w:tab w:val="right" w:pos="10080"/>
        </w:tabs>
        <w:spacing w:after="120"/>
      </w:pPr>
      <w:r w:rsidRPr="00C16FF6">
        <w:rPr>
          <w:szCs w:val="22"/>
        </w:rPr>
        <w:t>All applicable procedures in method 8 for the determination of SO</w:t>
      </w:r>
      <w:r w:rsidRPr="00C16FF6">
        <w:rPr>
          <w:szCs w:val="22"/>
          <w:vertAlign w:val="subscript"/>
        </w:rPr>
        <w:t>2</w:t>
      </w:r>
      <w:r w:rsidRPr="00C16FF6">
        <w:rPr>
          <w:szCs w:val="22"/>
        </w:rPr>
        <w:t xml:space="preserve"> including moisture) are used.</w:t>
      </w:r>
    </w:p>
    <w:p w14:paraId="68617FA1" w14:textId="3C62F5BF" w:rsidR="003D1677" w:rsidRPr="002A679B" w:rsidRDefault="003D1677" w:rsidP="00061DE9">
      <w:pPr>
        <w:pStyle w:val="ListParagraph"/>
        <w:widowControl w:val="0"/>
        <w:numPr>
          <w:ilvl w:val="0"/>
          <w:numId w:val="67"/>
        </w:numPr>
        <w:tabs>
          <w:tab w:val="left" w:pos="360"/>
          <w:tab w:val="left" w:pos="720"/>
          <w:tab w:val="left" w:pos="1080"/>
          <w:tab w:val="left" w:pos="1440"/>
          <w:tab w:val="right" w:pos="10080"/>
        </w:tabs>
        <w:spacing w:after="120"/>
      </w:pPr>
      <w:r w:rsidRPr="002A679B">
        <w:rPr>
          <w:szCs w:val="22"/>
        </w:rPr>
        <w:t>For Method 6 of appendix A of 40 CFR 60, Method 6C of appendix A of 40 CFR 60 may be used.  Method 6A of appendix A of 40 CFR 60 may also be used whenever Methods 6 and 3B of appendix A of 40 CFR 60 data are specified to determine the SO</w:t>
      </w:r>
      <w:r w:rsidRPr="002A679B">
        <w:rPr>
          <w:szCs w:val="22"/>
          <w:vertAlign w:val="subscript"/>
        </w:rPr>
        <w:t>2</w:t>
      </w:r>
      <w:r w:rsidRPr="002A679B">
        <w:rPr>
          <w:szCs w:val="22"/>
        </w:rPr>
        <w:t xml:space="preserve"> emission rate, under the conditions in 40 CFR 60.46(d)(1).</w:t>
      </w:r>
    </w:p>
    <w:p w14:paraId="3B7A8577" w14:textId="139F448D" w:rsidR="003D1677" w:rsidRPr="002A679B" w:rsidRDefault="003D1677" w:rsidP="00061DE9">
      <w:pPr>
        <w:pStyle w:val="ListParagraph"/>
        <w:widowControl w:val="0"/>
        <w:numPr>
          <w:ilvl w:val="0"/>
          <w:numId w:val="67"/>
        </w:numPr>
        <w:tabs>
          <w:tab w:val="left" w:pos="360"/>
          <w:tab w:val="left" w:pos="720"/>
          <w:tab w:val="left" w:pos="1080"/>
          <w:tab w:val="left" w:pos="1440"/>
          <w:tab w:val="right" w:pos="10080"/>
        </w:tabs>
        <w:spacing w:after="120"/>
      </w:pPr>
      <w:r w:rsidRPr="002A679B">
        <w:rPr>
          <w:szCs w:val="22"/>
        </w:rPr>
        <w:t>For Method 7 of appendix A of 40 CFR 60, Method 7A, 7C, 7D, or 7E of appendix A of 40 CFR 60 may be used.  If Method 7C, 7D, or 7E of appendix A of 40 CFR 60 is used, the sampling time for each run shall be at least 1 hour and the integrated sampling approach shall be used to determine the O2 concentration (%O</w:t>
      </w:r>
      <w:r w:rsidRPr="002A679B">
        <w:rPr>
          <w:szCs w:val="22"/>
          <w:vertAlign w:val="subscript"/>
        </w:rPr>
        <w:t>2</w:t>
      </w:r>
      <w:r w:rsidRPr="002A679B">
        <w:rPr>
          <w:szCs w:val="22"/>
        </w:rPr>
        <w:t>) for the emission rate correction factor.</w:t>
      </w:r>
    </w:p>
    <w:p w14:paraId="18D8E8AB" w14:textId="2CB7A050" w:rsidR="003D1677" w:rsidRPr="002A679B" w:rsidRDefault="003D1677" w:rsidP="00061DE9">
      <w:pPr>
        <w:pStyle w:val="ListParagraph"/>
        <w:widowControl w:val="0"/>
        <w:numPr>
          <w:ilvl w:val="0"/>
          <w:numId w:val="67"/>
        </w:numPr>
        <w:tabs>
          <w:tab w:val="left" w:pos="360"/>
          <w:tab w:val="left" w:pos="720"/>
          <w:tab w:val="left" w:pos="1080"/>
          <w:tab w:val="left" w:pos="1440"/>
          <w:tab w:val="right" w:pos="10080"/>
        </w:tabs>
        <w:spacing w:after="120"/>
      </w:pPr>
      <w:r w:rsidRPr="002A679B">
        <w:rPr>
          <w:szCs w:val="22"/>
        </w:rPr>
        <w:t>For Method 3 of appendix A of 40 CFR 60, Method 3A or 3B of appendix A of 40 CFR 60 may be used.</w:t>
      </w:r>
    </w:p>
    <w:p w14:paraId="046AA18D" w14:textId="44875D96" w:rsidR="003D1677" w:rsidRPr="002A679B" w:rsidRDefault="003D1677" w:rsidP="00061DE9">
      <w:pPr>
        <w:pStyle w:val="ListParagraph"/>
        <w:widowControl w:val="0"/>
        <w:numPr>
          <w:ilvl w:val="0"/>
          <w:numId w:val="67"/>
        </w:numPr>
        <w:tabs>
          <w:tab w:val="left" w:pos="360"/>
          <w:tab w:val="left" w:pos="720"/>
          <w:tab w:val="left" w:pos="1080"/>
          <w:tab w:val="left" w:pos="1440"/>
          <w:tab w:val="right" w:pos="10080"/>
        </w:tabs>
        <w:spacing w:after="120"/>
      </w:pPr>
      <w:r w:rsidRPr="002A679B">
        <w:rPr>
          <w:szCs w:val="22"/>
        </w:rPr>
        <w:t>For Method 3B</w:t>
      </w:r>
      <w:r w:rsidRPr="002A679B">
        <w:t xml:space="preserve"> </w:t>
      </w:r>
      <w:r w:rsidRPr="002A679B">
        <w:rPr>
          <w:szCs w:val="22"/>
        </w:rPr>
        <w:t>of appendix A of 40 CFR 60, Method 3A of appendix A of 40 CFR 60 may be used.</w:t>
      </w:r>
    </w:p>
    <w:p w14:paraId="181E0C1A" w14:textId="69C96B73" w:rsidR="00AF6BDD" w:rsidRPr="002A679B" w:rsidRDefault="00AF6BDD" w:rsidP="00AF6BDD">
      <w:pPr>
        <w:pStyle w:val="ListParagraph"/>
        <w:widowControl w:val="0"/>
        <w:tabs>
          <w:tab w:val="left" w:pos="360"/>
          <w:tab w:val="left" w:pos="720"/>
          <w:tab w:val="left" w:pos="1080"/>
          <w:tab w:val="left" w:pos="1440"/>
          <w:tab w:val="right" w:pos="10080"/>
        </w:tabs>
        <w:spacing w:after="120"/>
        <w:ind w:left="360"/>
        <w:contextualSpacing w:val="0"/>
      </w:pPr>
      <w:r w:rsidRPr="002A679B">
        <w:t>[40 CFR 60.46(b), (c) &amp; (d)]</w:t>
      </w:r>
    </w:p>
    <w:p w14:paraId="47486ACA" w14:textId="2028915C" w:rsidR="00AF6BDD" w:rsidRPr="002A679B" w:rsidRDefault="00AF6BDD" w:rsidP="00AF6BDD">
      <w:pPr>
        <w:widowControl w:val="0"/>
        <w:numPr>
          <w:ilvl w:val="0"/>
          <w:numId w:val="2"/>
        </w:numPr>
        <w:tabs>
          <w:tab w:val="left" w:pos="360"/>
          <w:tab w:val="left" w:pos="720"/>
          <w:tab w:val="left" w:pos="1080"/>
          <w:tab w:val="left" w:pos="1440"/>
          <w:tab w:val="right" w:pos="10080"/>
        </w:tabs>
        <w:spacing w:after="120"/>
        <w:ind w:left="360" w:hanging="360"/>
      </w:pPr>
      <w:bookmarkStart w:id="77" w:name="_Hlk520122570"/>
      <w:bookmarkEnd w:id="76"/>
      <w:r w:rsidRPr="00C16FF6">
        <w:rPr>
          <w:szCs w:val="22"/>
          <w:u w:val="single"/>
        </w:rPr>
        <w:t>Test Methodology</w:t>
      </w:r>
      <w:r w:rsidRPr="00C16FF6">
        <w:rPr>
          <w:szCs w:val="22"/>
        </w:rPr>
        <w:t xml:space="preserve">.  All compliance </w:t>
      </w:r>
      <w:r w:rsidRPr="002A679B">
        <w:rPr>
          <w:szCs w:val="22"/>
        </w:rPr>
        <w:t>tests shall be performed using reference test methods as given in 40 CFR 60, Appendix A, as adopted by reference in Rule 62-204.800, F.A.C.  Any deviations from the test methodology in order to facilitate “representative” testing shall be approved by the Department pursuant to Rule 62-297.620, F.A.C., prior to conducting the tests.  [40 CFR 60, Appendix A; Rules 62-204.800 &amp; 62-297.620, F.A.C.; and, Permit Nos. AO43-170568, Specific Condition 3. &amp; AO43-170567, Specific Condition 3]</w:t>
      </w:r>
    </w:p>
    <w:bookmarkEnd w:id="77"/>
    <w:p w14:paraId="7D081640" w14:textId="3250579D" w:rsidR="00AF6BDD" w:rsidRPr="00AF6BDD" w:rsidRDefault="00AF6BDD" w:rsidP="00AF6BDD">
      <w:pPr>
        <w:widowControl w:val="0"/>
        <w:numPr>
          <w:ilvl w:val="0"/>
          <w:numId w:val="2"/>
        </w:numPr>
        <w:tabs>
          <w:tab w:val="left" w:pos="360"/>
          <w:tab w:val="left" w:pos="720"/>
          <w:tab w:val="left" w:pos="1080"/>
          <w:tab w:val="left" w:pos="1440"/>
          <w:tab w:val="right" w:pos="10080"/>
        </w:tabs>
        <w:spacing w:after="120"/>
        <w:ind w:left="360" w:hanging="360"/>
      </w:pPr>
      <w:r w:rsidRPr="00C16FF6">
        <w:rPr>
          <w:szCs w:val="22"/>
          <w:u w:val="single"/>
        </w:rPr>
        <w:t>Samples</w:t>
      </w:r>
      <w:r w:rsidRPr="00C16FF6">
        <w:rPr>
          <w:szCs w:val="22"/>
        </w:rPr>
        <w:t>.  Compliance with the “on-specification” used oil requirements will be determined from a sample collected from each batch delivered for firing.  [Rules 62-4.070 and 62-213.440, F.A.C.; and 40 CFR 279.]</w:t>
      </w:r>
    </w:p>
    <w:p w14:paraId="4F3DFCD9" w14:textId="13AA399D" w:rsidR="00AF6BDD" w:rsidRPr="00AF6BDD" w:rsidRDefault="00AF6BDD" w:rsidP="00AF6BDD">
      <w:pPr>
        <w:widowControl w:val="0"/>
        <w:numPr>
          <w:ilvl w:val="0"/>
          <w:numId w:val="2"/>
        </w:numPr>
        <w:tabs>
          <w:tab w:val="left" w:pos="360"/>
          <w:tab w:val="left" w:pos="720"/>
          <w:tab w:val="left" w:pos="1080"/>
          <w:tab w:val="left" w:pos="1440"/>
          <w:tab w:val="right" w:pos="10080"/>
        </w:tabs>
        <w:spacing w:after="120"/>
        <w:ind w:left="360" w:hanging="360"/>
      </w:pPr>
      <w:r w:rsidRPr="00C16FF6">
        <w:rPr>
          <w:szCs w:val="22"/>
          <w:u w:val="single"/>
        </w:rPr>
        <w:t>Testing While Injecting Additives</w:t>
      </w:r>
      <w:r w:rsidRPr="00C16FF6">
        <w:rPr>
          <w:szCs w:val="22"/>
        </w:rPr>
        <w:t>.  The owner or operator shall conduct emission tests while injecting additives consistent with normal operating practices.  [Rule 62-213.440, F.A.C.; and applicant agreement with EPA on March 3, 1998.]</w:t>
      </w:r>
    </w:p>
    <w:p w14:paraId="56BAF3EE" w14:textId="77777777" w:rsidR="00780F01" w:rsidRPr="00780F01" w:rsidRDefault="00780F01" w:rsidP="008E10F7">
      <w:pPr>
        <w:widowControl w:val="0"/>
        <w:tabs>
          <w:tab w:val="left" w:pos="0"/>
        </w:tabs>
        <w:suppressAutoHyphens/>
        <w:spacing w:before="120" w:after="120"/>
        <w:rPr>
          <w:b/>
          <w:u w:val="single"/>
        </w:rPr>
      </w:pPr>
      <w:r w:rsidRPr="00780F01">
        <w:rPr>
          <w:b/>
          <w:u w:val="single"/>
        </w:rPr>
        <w:t>Recordkeeping and Reporting Requirements</w:t>
      </w:r>
    </w:p>
    <w:p w14:paraId="5D2CDB42" w14:textId="7E280929" w:rsidR="00780F01" w:rsidRDefault="00892617" w:rsidP="005B0CC1">
      <w:pPr>
        <w:numPr>
          <w:ilvl w:val="0"/>
          <w:numId w:val="2"/>
        </w:numPr>
        <w:tabs>
          <w:tab w:val="left" w:pos="0"/>
          <w:tab w:val="left" w:pos="360"/>
          <w:tab w:val="num" w:pos="720"/>
        </w:tabs>
        <w:suppressAutoHyphens/>
        <w:spacing w:before="120" w:after="120"/>
        <w:ind w:left="360" w:hanging="360"/>
      </w:pPr>
      <w:bookmarkStart w:id="78" w:name="_Hlk520123054"/>
      <w:r w:rsidRPr="0095785A">
        <w:rPr>
          <w:u w:val="single"/>
        </w:rPr>
        <w:t>Reporting Schedule</w:t>
      </w:r>
      <w:r w:rsidRPr="00993ABC">
        <w:t>.  The following reports and notifications shall be submitted to the Compliance Authority</w:t>
      </w:r>
      <w:r w:rsidR="00AF6BDD">
        <w:t>:</w:t>
      </w:r>
    </w:p>
    <w:tbl>
      <w:tblPr>
        <w:tblW w:w="10227" w:type="dxa"/>
        <w:tblInd w:w="46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3657"/>
        <w:gridCol w:w="4163"/>
        <w:gridCol w:w="2407"/>
      </w:tblGrid>
      <w:tr w:rsidR="00892617" w:rsidRPr="00060DE6" w14:paraId="03A5752A" w14:textId="77777777" w:rsidTr="00264C4F">
        <w:tc>
          <w:tcPr>
            <w:tcW w:w="3657" w:type="dxa"/>
            <w:tcBorders>
              <w:top w:val="single" w:sz="12" w:space="0" w:color="auto"/>
              <w:bottom w:val="single" w:sz="12" w:space="0" w:color="auto"/>
            </w:tcBorders>
            <w:vAlign w:val="center"/>
          </w:tcPr>
          <w:p w14:paraId="1CE45F1A" w14:textId="77777777" w:rsidR="00892617" w:rsidRPr="00060DE6" w:rsidRDefault="00892617" w:rsidP="00060DE6">
            <w:pPr>
              <w:tabs>
                <w:tab w:val="left" w:pos="360"/>
                <w:tab w:val="left" w:pos="720"/>
                <w:tab w:val="left" w:pos="1080"/>
                <w:tab w:val="left" w:pos="1440"/>
                <w:tab w:val="left" w:pos="1800"/>
                <w:tab w:val="left" w:pos="2160"/>
              </w:tabs>
              <w:spacing w:line="-240" w:lineRule="auto"/>
              <w:rPr>
                <w:b/>
              </w:rPr>
            </w:pPr>
            <w:r w:rsidRPr="00060DE6">
              <w:rPr>
                <w:b/>
              </w:rPr>
              <w:t>Report</w:t>
            </w:r>
          </w:p>
        </w:tc>
        <w:tc>
          <w:tcPr>
            <w:tcW w:w="4163" w:type="dxa"/>
            <w:tcBorders>
              <w:top w:val="single" w:sz="12" w:space="0" w:color="auto"/>
              <w:bottom w:val="single" w:sz="12" w:space="0" w:color="auto"/>
            </w:tcBorders>
            <w:vAlign w:val="center"/>
          </w:tcPr>
          <w:p w14:paraId="0021200C" w14:textId="77777777" w:rsidR="00892617" w:rsidRPr="00060DE6" w:rsidRDefault="00892617" w:rsidP="00060DE6">
            <w:pPr>
              <w:tabs>
                <w:tab w:val="left" w:pos="360"/>
                <w:tab w:val="left" w:pos="720"/>
                <w:tab w:val="left" w:pos="1080"/>
                <w:tab w:val="left" w:pos="1440"/>
                <w:tab w:val="left" w:pos="1800"/>
                <w:tab w:val="left" w:pos="2160"/>
              </w:tabs>
              <w:spacing w:line="-240" w:lineRule="auto"/>
              <w:rPr>
                <w:b/>
              </w:rPr>
            </w:pPr>
            <w:r w:rsidRPr="00060DE6">
              <w:rPr>
                <w:b/>
              </w:rPr>
              <w:t>Reporting Deadline</w:t>
            </w:r>
          </w:p>
        </w:tc>
        <w:tc>
          <w:tcPr>
            <w:tcW w:w="2407" w:type="dxa"/>
            <w:tcBorders>
              <w:top w:val="single" w:sz="12" w:space="0" w:color="auto"/>
              <w:bottom w:val="single" w:sz="12" w:space="0" w:color="auto"/>
            </w:tcBorders>
            <w:vAlign w:val="center"/>
          </w:tcPr>
          <w:p w14:paraId="11D7174C" w14:textId="77777777" w:rsidR="00892617" w:rsidRPr="00060DE6" w:rsidRDefault="00620538" w:rsidP="00060DE6">
            <w:pPr>
              <w:tabs>
                <w:tab w:val="left" w:pos="360"/>
                <w:tab w:val="left" w:pos="720"/>
                <w:tab w:val="left" w:pos="1080"/>
                <w:tab w:val="left" w:pos="1440"/>
                <w:tab w:val="left" w:pos="1800"/>
                <w:tab w:val="left" w:pos="2160"/>
              </w:tabs>
              <w:spacing w:line="-240" w:lineRule="auto"/>
              <w:rPr>
                <w:b/>
              </w:rPr>
            </w:pPr>
            <w:r w:rsidRPr="00060DE6">
              <w:rPr>
                <w:b/>
              </w:rPr>
              <w:t>Related Condition(s)</w:t>
            </w:r>
          </w:p>
        </w:tc>
      </w:tr>
      <w:tr w:rsidR="00AF6BDD" w:rsidRPr="00060DE6" w14:paraId="713995A2" w14:textId="77777777" w:rsidTr="00264C4F">
        <w:tc>
          <w:tcPr>
            <w:tcW w:w="3657" w:type="dxa"/>
            <w:tcBorders>
              <w:top w:val="single" w:sz="12" w:space="0" w:color="auto"/>
            </w:tcBorders>
            <w:vAlign w:val="center"/>
          </w:tcPr>
          <w:p w14:paraId="7D8C70BA" w14:textId="33908D4E" w:rsidR="00AF6BDD" w:rsidRPr="002A679B" w:rsidRDefault="00AF6BDD" w:rsidP="00264C4F">
            <w:pPr>
              <w:pStyle w:val="BodyText"/>
              <w:spacing w:before="60" w:after="60"/>
              <w:ind w:right="144"/>
            </w:pPr>
            <w:r w:rsidRPr="002A679B">
              <w:rPr>
                <w:szCs w:val="22"/>
              </w:rPr>
              <w:t>Notice of Operational Changes</w:t>
            </w:r>
          </w:p>
        </w:tc>
        <w:tc>
          <w:tcPr>
            <w:tcW w:w="4163" w:type="dxa"/>
            <w:tcBorders>
              <w:top w:val="single" w:sz="12" w:space="0" w:color="auto"/>
            </w:tcBorders>
            <w:vAlign w:val="center"/>
          </w:tcPr>
          <w:p w14:paraId="0FCD82DF" w14:textId="7E0EB2A8" w:rsidR="00AF6BDD" w:rsidRPr="002A679B" w:rsidRDefault="00AF6BDD" w:rsidP="00264C4F">
            <w:pPr>
              <w:suppressAutoHyphens/>
              <w:spacing w:before="60" w:after="60"/>
              <w:ind w:right="144"/>
            </w:pPr>
            <w:r w:rsidRPr="002A679B">
              <w:rPr>
                <w:szCs w:val="22"/>
              </w:rPr>
              <w:t>60 days prior to change.</w:t>
            </w:r>
          </w:p>
        </w:tc>
        <w:tc>
          <w:tcPr>
            <w:tcW w:w="2407" w:type="dxa"/>
            <w:tcBorders>
              <w:top w:val="single" w:sz="12" w:space="0" w:color="auto"/>
            </w:tcBorders>
            <w:vAlign w:val="center"/>
          </w:tcPr>
          <w:p w14:paraId="5A224EE5" w14:textId="5C1D00BA" w:rsidR="00AF6BDD" w:rsidRPr="002A679B" w:rsidRDefault="00D33789" w:rsidP="00264C4F">
            <w:pPr>
              <w:pStyle w:val="BodyText"/>
              <w:spacing w:before="60" w:after="60"/>
              <w:ind w:right="144"/>
            </w:pPr>
            <w:r w:rsidRPr="002A679B">
              <w:rPr>
                <w:b/>
                <w:szCs w:val="22"/>
              </w:rPr>
              <w:fldChar w:fldCharType="begin"/>
            </w:r>
            <w:r w:rsidRPr="002A679B">
              <w:rPr>
                <w:b/>
                <w:szCs w:val="22"/>
              </w:rPr>
              <w:instrText xml:space="preserve"> REF _Ref504049336 \r \h  \* MERGEFORMAT </w:instrText>
            </w:r>
            <w:r w:rsidRPr="002A679B">
              <w:rPr>
                <w:b/>
                <w:szCs w:val="22"/>
              </w:rPr>
            </w:r>
            <w:r w:rsidRPr="002A679B">
              <w:rPr>
                <w:b/>
                <w:szCs w:val="22"/>
              </w:rPr>
              <w:fldChar w:fldCharType="separate"/>
            </w:r>
            <w:r w:rsidR="00D31800">
              <w:rPr>
                <w:b/>
                <w:szCs w:val="22"/>
              </w:rPr>
              <w:t>A.46</w:t>
            </w:r>
            <w:r w:rsidRPr="002A679B">
              <w:rPr>
                <w:b/>
                <w:szCs w:val="22"/>
              </w:rPr>
              <w:fldChar w:fldCharType="end"/>
            </w:r>
          </w:p>
        </w:tc>
      </w:tr>
      <w:tr w:rsidR="00AF6BDD" w:rsidRPr="00060DE6" w14:paraId="18304834" w14:textId="77777777" w:rsidTr="00264C4F">
        <w:tc>
          <w:tcPr>
            <w:tcW w:w="3657" w:type="dxa"/>
            <w:vAlign w:val="center"/>
          </w:tcPr>
          <w:p w14:paraId="4250D90F" w14:textId="18EAEA1A" w:rsidR="00AF6BDD" w:rsidRPr="002A679B" w:rsidRDefault="00AF6BDD" w:rsidP="00264C4F">
            <w:pPr>
              <w:pStyle w:val="BodyText"/>
              <w:spacing w:before="60" w:after="60"/>
              <w:ind w:right="144"/>
            </w:pPr>
            <w:r w:rsidRPr="002A679B">
              <w:rPr>
                <w:szCs w:val="22"/>
              </w:rPr>
              <w:t>NSPS Excess Emissions Reports</w:t>
            </w:r>
          </w:p>
        </w:tc>
        <w:tc>
          <w:tcPr>
            <w:tcW w:w="4163" w:type="dxa"/>
            <w:vAlign w:val="center"/>
          </w:tcPr>
          <w:p w14:paraId="32A3DBA2" w14:textId="072395FB" w:rsidR="00AF6BDD" w:rsidRPr="002A679B" w:rsidRDefault="00AF6BDD" w:rsidP="00264C4F">
            <w:pPr>
              <w:suppressAutoHyphens/>
              <w:spacing w:before="60" w:after="60"/>
              <w:ind w:right="144"/>
            </w:pPr>
            <w:r w:rsidRPr="002A679B">
              <w:rPr>
                <w:szCs w:val="22"/>
              </w:rPr>
              <w:t>Semi-annually</w:t>
            </w:r>
          </w:p>
        </w:tc>
        <w:tc>
          <w:tcPr>
            <w:tcW w:w="2407" w:type="dxa"/>
            <w:vAlign w:val="center"/>
          </w:tcPr>
          <w:p w14:paraId="532D9EC2" w14:textId="376C9FBC" w:rsidR="00AF6BDD" w:rsidRPr="002A679B" w:rsidRDefault="00D33789" w:rsidP="00264C4F">
            <w:pPr>
              <w:pStyle w:val="BodyText"/>
              <w:spacing w:before="60" w:after="60"/>
              <w:ind w:right="144"/>
              <w:rPr>
                <w:strike/>
              </w:rPr>
            </w:pPr>
            <w:r w:rsidRPr="002A679B">
              <w:rPr>
                <w:b/>
                <w:szCs w:val="22"/>
              </w:rPr>
              <w:fldChar w:fldCharType="begin"/>
            </w:r>
            <w:r w:rsidRPr="002A679B">
              <w:rPr>
                <w:b/>
                <w:szCs w:val="22"/>
              </w:rPr>
              <w:instrText xml:space="preserve"> REF _Ref504049380 \r \h  \* MERGEFORMAT </w:instrText>
            </w:r>
            <w:r w:rsidRPr="002A679B">
              <w:rPr>
                <w:b/>
                <w:szCs w:val="22"/>
              </w:rPr>
            </w:r>
            <w:r w:rsidRPr="002A679B">
              <w:rPr>
                <w:b/>
                <w:szCs w:val="22"/>
              </w:rPr>
              <w:fldChar w:fldCharType="separate"/>
            </w:r>
            <w:r w:rsidR="00D31800">
              <w:rPr>
                <w:b/>
                <w:szCs w:val="22"/>
              </w:rPr>
              <w:t>A.48</w:t>
            </w:r>
            <w:r w:rsidRPr="002A679B">
              <w:rPr>
                <w:b/>
                <w:szCs w:val="22"/>
              </w:rPr>
              <w:fldChar w:fldCharType="end"/>
            </w:r>
          </w:p>
        </w:tc>
      </w:tr>
      <w:tr w:rsidR="00942FD5" w:rsidRPr="00060DE6" w14:paraId="6C546A8E" w14:textId="77777777" w:rsidTr="00264C4F">
        <w:tc>
          <w:tcPr>
            <w:tcW w:w="3657" w:type="dxa"/>
            <w:vAlign w:val="center"/>
          </w:tcPr>
          <w:p w14:paraId="41A05FB7" w14:textId="1B4D3DB4" w:rsidR="00942FD5" w:rsidRPr="002A679B" w:rsidRDefault="00942FD5" w:rsidP="00264C4F">
            <w:pPr>
              <w:pStyle w:val="BodyText"/>
              <w:spacing w:before="60" w:after="60"/>
              <w:ind w:right="144"/>
              <w:rPr>
                <w:szCs w:val="22"/>
              </w:rPr>
            </w:pPr>
            <w:r w:rsidRPr="002A679B">
              <w:rPr>
                <w:szCs w:val="22"/>
              </w:rPr>
              <w:t>CEMS Reports</w:t>
            </w:r>
          </w:p>
        </w:tc>
        <w:tc>
          <w:tcPr>
            <w:tcW w:w="4163" w:type="dxa"/>
            <w:vAlign w:val="center"/>
          </w:tcPr>
          <w:p w14:paraId="4084D156" w14:textId="553ED94A" w:rsidR="00942FD5" w:rsidRPr="002A679B" w:rsidRDefault="00942FD5" w:rsidP="00264C4F">
            <w:pPr>
              <w:suppressAutoHyphens/>
              <w:spacing w:before="60" w:after="60"/>
              <w:ind w:right="144"/>
              <w:rPr>
                <w:szCs w:val="22"/>
              </w:rPr>
            </w:pPr>
            <w:r w:rsidRPr="002A679B">
              <w:rPr>
                <w:szCs w:val="22"/>
              </w:rPr>
              <w:t>Semi-annually</w:t>
            </w:r>
          </w:p>
        </w:tc>
        <w:tc>
          <w:tcPr>
            <w:tcW w:w="2407" w:type="dxa"/>
            <w:vAlign w:val="center"/>
          </w:tcPr>
          <w:p w14:paraId="425FB2A0" w14:textId="67ED8559" w:rsidR="00942FD5" w:rsidRPr="002A679B" w:rsidRDefault="00942FD5" w:rsidP="00264C4F">
            <w:pPr>
              <w:pStyle w:val="BodyText"/>
              <w:spacing w:before="60" w:after="60"/>
              <w:ind w:right="144"/>
              <w:rPr>
                <w:b/>
                <w:szCs w:val="22"/>
              </w:rPr>
            </w:pPr>
            <w:r w:rsidRPr="002A679B">
              <w:rPr>
                <w:b/>
                <w:szCs w:val="22"/>
              </w:rPr>
              <w:fldChar w:fldCharType="begin"/>
            </w:r>
            <w:r w:rsidRPr="002A679B">
              <w:rPr>
                <w:b/>
                <w:szCs w:val="22"/>
              </w:rPr>
              <w:instrText xml:space="preserve"> REF _Ref520122644 \r \h  \* MERGEFORMAT </w:instrText>
            </w:r>
            <w:r w:rsidRPr="002A679B">
              <w:rPr>
                <w:b/>
                <w:szCs w:val="22"/>
              </w:rPr>
            </w:r>
            <w:r w:rsidRPr="002A679B">
              <w:rPr>
                <w:b/>
                <w:szCs w:val="22"/>
              </w:rPr>
              <w:fldChar w:fldCharType="separate"/>
            </w:r>
            <w:r w:rsidR="00D31800">
              <w:rPr>
                <w:b/>
                <w:szCs w:val="22"/>
              </w:rPr>
              <w:t>A.51</w:t>
            </w:r>
            <w:r w:rsidRPr="002A679B">
              <w:rPr>
                <w:b/>
                <w:szCs w:val="22"/>
              </w:rPr>
              <w:fldChar w:fldCharType="end"/>
            </w:r>
          </w:p>
        </w:tc>
      </w:tr>
    </w:tbl>
    <w:p w14:paraId="6EF078E2" w14:textId="77777777" w:rsidR="006220A0" w:rsidRPr="002A679B" w:rsidRDefault="006220A0" w:rsidP="00264C4F">
      <w:pPr>
        <w:tabs>
          <w:tab w:val="left" w:pos="0"/>
          <w:tab w:val="left" w:pos="360"/>
          <w:tab w:val="left" w:pos="720"/>
          <w:tab w:val="left" w:pos="1080"/>
          <w:tab w:val="left" w:pos="1260"/>
        </w:tabs>
        <w:spacing w:before="60" w:after="60"/>
      </w:pPr>
      <w:r w:rsidRPr="002A679B">
        <w:tab/>
        <w:t>[Rule 62-213.440</w:t>
      </w:r>
      <w:r w:rsidR="006B7012" w:rsidRPr="002A679B">
        <w:t>(1)(b)</w:t>
      </w:r>
      <w:r w:rsidRPr="002A679B">
        <w:t>, F.A.C.]</w:t>
      </w:r>
    </w:p>
    <w:bookmarkEnd w:id="78"/>
    <w:p w14:paraId="1A5A63E0" w14:textId="4FB7B19D" w:rsidR="00004B5C" w:rsidRPr="00264C4F" w:rsidRDefault="007155AF" w:rsidP="005B0CC1">
      <w:pPr>
        <w:numPr>
          <w:ilvl w:val="0"/>
          <w:numId w:val="2"/>
        </w:numPr>
        <w:tabs>
          <w:tab w:val="left" w:pos="-720"/>
          <w:tab w:val="left" w:pos="0"/>
          <w:tab w:val="left" w:pos="720"/>
          <w:tab w:val="left" w:pos="1440"/>
          <w:tab w:val="left" w:pos="2160"/>
          <w:tab w:val="left" w:pos="2880"/>
          <w:tab w:val="left" w:pos="3600"/>
          <w:tab w:val="left" w:pos="4320"/>
          <w:tab w:val="left" w:pos="4752"/>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30672"/>
        </w:tabs>
        <w:suppressAutoHyphens/>
        <w:spacing w:after="120"/>
        <w:ind w:left="720" w:hanging="720"/>
        <w:rPr>
          <w:spacing w:val="-3"/>
        </w:rPr>
      </w:pPr>
      <w:r w:rsidRPr="002A679B">
        <w:rPr>
          <w:u w:val="single"/>
        </w:rPr>
        <w:t>Other Reporting</w:t>
      </w:r>
      <w:r w:rsidR="00264C4F" w:rsidRPr="002A679B">
        <w:rPr>
          <w:u w:val="single"/>
        </w:rPr>
        <w:t xml:space="preserve"> </w:t>
      </w:r>
      <w:r w:rsidRPr="002A679B">
        <w:rPr>
          <w:u w:val="single"/>
        </w:rPr>
        <w:t>Requirements</w:t>
      </w:r>
      <w:r>
        <w:t xml:space="preserve">.  </w:t>
      </w:r>
      <w:r w:rsidRPr="008E6BC8">
        <w:t xml:space="preserve">See </w:t>
      </w:r>
      <w:r w:rsidRPr="008E6BC8">
        <w:rPr>
          <w:bCs/>
        </w:rPr>
        <w:t>Appendix RR, Facility-Wide Reporting Requirements</w:t>
      </w:r>
      <w:r w:rsidRPr="008E6BC8">
        <w:t>, for additional reporting requirements.</w:t>
      </w:r>
      <w:r w:rsidR="00FF25AE">
        <w:t xml:space="preserve">  [Rule 62-</w:t>
      </w:r>
      <w:r w:rsidR="00FF25AE" w:rsidRPr="002A679B">
        <w:t>213.440</w:t>
      </w:r>
      <w:r w:rsidR="006B7012" w:rsidRPr="002A679B">
        <w:t>(1)(b)</w:t>
      </w:r>
      <w:r w:rsidR="00FF25AE" w:rsidRPr="002A679B">
        <w:t>,</w:t>
      </w:r>
      <w:r w:rsidR="00FF25AE">
        <w:t xml:space="preserve"> F.A.C.]</w:t>
      </w:r>
    </w:p>
    <w:p w14:paraId="49A6247E" w14:textId="5525C46D" w:rsidR="00264C4F" w:rsidRDefault="000223E0" w:rsidP="000223E0">
      <w:pPr>
        <w:numPr>
          <w:ilvl w:val="0"/>
          <w:numId w:val="2"/>
        </w:numPr>
        <w:tabs>
          <w:tab w:val="clear" w:pos="1836"/>
        </w:tabs>
        <w:suppressAutoHyphens/>
        <w:spacing w:after="120"/>
        <w:ind w:left="360" w:hanging="360"/>
        <w:rPr>
          <w:spacing w:val="-3"/>
        </w:rPr>
      </w:pPr>
      <w:bookmarkStart w:id="79" w:name="_Ref504049336"/>
      <w:r w:rsidRPr="00C16FF6">
        <w:rPr>
          <w:szCs w:val="22"/>
          <w:u w:val="single"/>
        </w:rPr>
        <w:t>Facility Changes</w:t>
      </w:r>
      <w:r w:rsidRPr="00C16FF6">
        <w:rPr>
          <w:szCs w:val="22"/>
        </w:rPr>
        <w:t xml:space="preserve">.  The owner or operator subject to the provisions of 40 CFR 60 shall furnish the </w:t>
      </w:r>
      <w:r w:rsidRPr="002A679B">
        <w:rPr>
          <w:szCs w:val="22"/>
        </w:rPr>
        <w:t>Department</w:t>
      </w:r>
      <w:r>
        <w:rPr>
          <w:szCs w:val="22"/>
        </w:rPr>
        <w:t xml:space="preserve"> </w:t>
      </w:r>
      <w:r w:rsidRPr="00C16FF6">
        <w:rPr>
          <w:szCs w:val="22"/>
        </w:rPr>
        <w:t>written notification as follows:  A notification of any physical or operational change to an existing facility which may increase the emission rate of any air pollutant to which a standard applies, unless that change is specifically exempted under an applicable subpart or in 40 CFR 60.14(e).  This notice shall be postmarked 60 days or as soon as practicable before the change is commenced and shall include information describing the precise nature of the change, present and proposed emission control systems, productive capacity of the facility before and after the change, and the expected completion date of the change.  The Administrator may request additional relevant information subsequent to this notice.  [40 CFR 60.7(a)(4)]</w:t>
      </w:r>
      <w:bookmarkEnd w:id="79"/>
    </w:p>
    <w:p w14:paraId="6CDF09DA" w14:textId="000FC6F0" w:rsidR="000223E0" w:rsidRPr="000223E0" w:rsidRDefault="000223E0" w:rsidP="000223E0">
      <w:pPr>
        <w:numPr>
          <w:ilvl w:val="0"/>
          <w:numId w:val="2"/>
        </w:numPr>
        <w:tabs>
          <w:tab w:val="clear" w:pos="1836"/>
        </w:tabs>
        <w:suppressAutoHyphens/>
        <w:spacing w:after="120"/>
        <w:ind w:left="360" w:hanging="360"/>
        <w:rPr>
          <w:spacing w:val="-3"/>
        </w:rPr>
      </w:pPr>
      <w:r w:rsidRPr="00C16FF6">
        <w:rPr>
          <w:szCs w:val="22"/>
          <w:u w:val="single"/>
        </w:rPr>
        <w:t>NSPS Records</w:t>
      </w:r>
      <w:r w:rsidRPr="00C16FF6">
        <w:rPr>
          <w:szCs w:val="22"/>
        </w:rPr>
        <w:t>.  The owner or operator subject to the provisions of 40 CFR 60 shall maintain records of the occurrence and duration of any startup, shutdown, or malfunction in the operation of an affected facility; any malfunction of the air pollution control equipment; or, any periods during which a continuous monitoring system or monitoring device is inoperative.  [40 CFR 60.7(b)]</w:t>
      </w:r>
    </w:p>
    <w:p w14:paraId="18B63FE6" w14:textId="551AE5D7" w:rsidR="008E6BC8" w:rsidRPr="000223E0" w:rsidRDefault="000223E0" w:rsidP="000223E0">
      <w:pPr>
        <w:numPr>
          <w:ilvl w:val="0"/>
          <w:numId w:val="2"/>
        </w:numPr>
        <w:tabs>
          <w:tab w:val="clear" w:pos="1836"/>
        </w:tabs>
        <w:suppressAutoHyphens/>
        <w:ind w:left="360" w:hanging="360"/>
        <w:rPr>
          <w:spacing w:val="-3"/>
        </w:rPr>
      </w:pPr>
      <w:bookmarkStart w:id="80" w:name="_Ref504049380"/>
      <w:bookmarkStart w:id="81" w:name="_Hlk523219745"/>
      <w:r w:rsidRPr="00C16FF6">
        <w:rPr>
          <w:szCs w:val="22"/>
          <w:u w:val="single"/>
        </w:rPr>
        <w:t>NSPS Excess Emissions Reports</w:t>
      </w:r>
      <w:r w:rsidRPr="00C16FF6">
        <w:rPr>
          <w:szCs w:val="22"/>
        </w:rPr>
        <w:t xml:space="preserve">.  The owner or operator required to install a continuous monitoring system (CMS) or </w:t>
      </w:r>
      <w:r w:rsidRPr="00C919C1">
        <w:rPr>
          <w:szCs w:val="22"/>
        </w:rPr>
        <w:t xml:space="preserve">monitoring device shall submit an excess emissions and monitoring systems performance report (excess emissions are defined in applicable subparts) and/or a summary report form [see 40 CFR 60.7(d) and Specific </w:t>
      </w:r>
      <w:r w:rsidRPr="002A679B">
        <w:rPr>
          <w:szCs w:val="22"/>
        </w:rPr>
        <w:t xml:space="preserve">Condition </w:t>
      </w:r>
      <w:r w:rsidR="00F83A85" w:rsidRPr="002A679B">
        <w:rPr>
          <w:b/>
          <w:szCs w:val="22"/>
        </w:rPr>
        <w:fldChar w:fldCharType="begin"/>
      </w:r>
      <w:r w:rsidR="00F83A85" w:rsidRPr="002A679B">
        <w:rPr>
          <w:b/>
          <w:szCs w:val="22"/>
        </w:rPr>
        <w:instrText xml:space="preserve"> REF _Ref504049556 \r \h  \* MERGEFORMAT </w:instrText>
      </w:r>
      <w:r w:rsidR="00F83A85" w:rsidRPr="002A679B">
        <w:rPr>
          <w:b/>
          <w:szCs w:val="22"/>
        </w:rPr>
      </w:r>
      <w:r w:rsidR="00F83A85" w:rsidRPr="002A679B">
        <w:rPr>
          <w:b/>
          <w:szCs w:val="22"/>
        </w:rPr>
        <w:fldChar w:fldCharType="separate"/>
      </w:r>
      <w:r w:rsidR="00D31800">
        <w:rPr>
          <w:b/>
          <w:szCs w:val="22"/>
        </w:rPr>
        <w:t>A.49</w:t>
      </w:r>
      <w:r w:rsidR="00F83A85" w:rsidRPr="002A679B">
        <w:rPr>
          <w:b/>
          <w:szCs w:val="22"/>
        </w:rPr>
        <w:fldChar w:fldCharType="end"/>
      </w:r>
      <w:r w:rsidRPr="002A679B">
        <w:rPr>
          <w:szCs w:val="22"/>
        </w:rPr>
        <w:t xml:space="preserve">] to the Department semiannually, except when:  more frequent reporting is specifically required by an applicable subpart; or, the CMS data are to be used directly for compliance determination, in which case quarterly reports shall be submitted; or, the Department, on a case-by-case basis, determines that more frequent reporting is necessary to accurately assess the compliance status of the source.  All reports shall be postmarked by the </w:t>
      </w:r>
      <w:r w:rsidR="008A6695" w:rsidRPr="002A679B">
        <w:rPr>
          <w:szCs w:val="22"/>
        </w:rPr>
        <w:t xml:space="preserve">60th </w:t>
      </w:r>
      <w:r w:rsidRPr="002A679B">
        <w:rPr>
          <w:szCs w:val="22"/>
        </w:rPr>
        <w:t>day following the end of each calendar half (or quarter, as appropriate).</w:t>
      </w:r>
      <w:r w:rsidR="00814182" w:rsidRPr="002A679B">
        <w:rPr>
          <w:szCs w:val="22"/>
        </w:rPr>
        <w:t xml:space="preserve">  Periods of excess emissions and monitoring systems downtime that shall be reported are defined in accordance with Specific Condition </w:t>
      </w:r>
      <w:r w:rsidR="00814182" w:rsidRPr="002A679B">
        <w:rPr>
          <w:b/>
          <w:szCs w:val="22"/>
        </w:rPr>
        <w:fldChar w:fldCharType="begin"/>
      </w:r>
      <w:r w:rsidR="00814182" w:rsidRPr="002A679B">
        <w:rPr>
          <w:b/>
          <w:szCs w:val="22"/>
        </w:rPr>
        <w:instrText xml:space="preserve"> REF _Hlk519848607 \r \h  \* MERGEFORMAT </w:instrText>
      </w:r>
      <w:r w:rsidR="00814182" w:rsidRPr="002A679B">
        <w:rPr>
          <w:b/>
          <w:szCs w:val="22"/>
        </w:rPr>
      </w:r>
      <w:r w:rsidR="00814182" w:rsidRPr="002A679B">
        <w:rPr>
          <w:b/>
          <w:szCs w:val="22"/>
        </w:rPr>
        <w:fldChar w:fldCharType="separate"/>
      </w:r>
      <w:r w:rsidR="00D31800">
        <w:rPr>
          <w:b/>
          <w:szCs w:val="22"/>
        </w:rPr>
        <w:t>A.16</w:t>
      </w:r>
      <w:r w:rsidR="00814182" w:rsidRPr="002A679B">
        <w:rPr>
          <w:b/>
          <w:szCs w:val="22"/>
        </w:rPr>
        <w:fldChar w:fldCharType="end"/>
      </w:r>
      <w:r w:rsidR="00814182" w:rsidRPr="002A679B">
        <w:rPr>
          <w:szCs w:val="22"/>
        </w:rPr>
        <w:t>.</w:t>
      </w:r>
      <w:r w:rsidRPr="002A679B">
        <w:rPr>
          <w:szCs w:val="22"/>
        </w:rPr>
        <w:t xml:space="preserve">  Written</w:t>
      </w:r>
      <w:r w:rsidRPr="00C16FF6">
        <w:rPr>
          <w:szCs w:val="22"/>
        </w:rPr>
        <w:t xml:space="preserve"> reports of excess emissions shall include the following information:</w:t>
      </w:r>
      <w:bookmarkEnd w:id="80"/>
    </w:p>
    <w:p w14:paraId="024C25EB" w14:textId="6A67940C" w:rsidR="000223E0" w:rsidRPr="000223E0" w:rsidRDefault="000223E0" w:rsidP="00061DE9">
      <w:pPr>
        <w:pStyle w:val="ListParagraph"/>
        <w:numPr>
          <w:ilvl w:val="0"/>
          <w:numId w:val="71"/>
        </w:numPr>
        <w:suppressAutoHyphens/>
        <w:spacing w:after="120"/>
        <w:rPr>
          <w:spacing w:val="-3"/>
        </w:rPr>
      </w:pPr>
      <w:r w:rsidRPr="00C16FF6">
        <w:rPr>
          <w:szCs w:val="22"/>
        </w:rPr>
        <w:t>The magnitude of excess emissions computed in accordance with 40 CFR 60.13(h), any conversion factor(s) used, and the date and time of commencement and completion of each time period of excess emissions.  The process operating time during the reporting period.</w:t>
      </w:r>
    </w:p>
    <w:p w14:paraId="22A78F11" w14:textId="2BBA70E2" w:rsidR="000223E0" w:rsidRPr="000223E0" w:rsidRDefault="000223E0" w:rsidP="00061DE9">
      <w:pPr>
        <w:pStyle w:val="ListParagraph"/>
        <w:numPr>
          <w:ilvl w:val="0"/>
          <w:numId w:val="71"/>
        </w:numPr>
        <w:suppressAutoHyphens/>
        <w:spacing w:after="120"/>
        <w:rPr>
          <w:spacing w:val="-3"/>
        </w:rPr>
      </w:pPr>
      <w:r w:rsidRPr="00C16FF6">
        <w:rPr>
          <w:szCs w:val="22"/>
        </w:rPr>
        <w:t>Specific identification of each period of excess emissions that occurs during startups, shutdowns, and malfunctions of the affected facility.  The nature and cause of any malfunction (if known), the corrective action taken or preventative measures adopted.</w:t>
      </w:r>
    </w:p>
    <w:p w14:paraId="2A895031" w14:textId="7CC9717A" w:rsidR="000223E0" w:rsidRPr="000223E0" w:rsidRDefault="000223E0" w:rsidP="00061DE9">
      <w:pPr>
        <w:pStyle w:val="ListParagraph"/>
        <w:numPr>
          <w:ilvl w:val="0"/>
          <w:numId w:val="71"/>
        </w:numPr>
        <w:suppressAutoHyphens/>
        <w:spacing w:after="120"/>
        <w:rPr>
          <w:spacing w:val="-3"/>
        </w:rPr>
      </w:pPr>
      <w:r w:rsidRPr="00C16FF6">
        <w:rPr>
          <w:szCs w:val="22"/>
        </w:rPr>
        <w:t>The date and time identifying each period during which the continuous monitoring system was inoperative except for zero and span checks and the nature of the system repairs or adjustments.</w:t>
      </w:r>
    </w:p>
    <w:p w14:paraId="571351C6" w14:textId="1C4B0E6D" w:rsidR="000223E0" w:rsidRPr="000223E0" w:rsidRDefault="000223E0" w:rsidP="00061DE9">
      <w:pPr>
        <w:pStyle w:val="ListParagraph"/>
        <w:numPr>
          <w:ilvl w:val="0"/>
          <w:numId w:val="71"/>
        </w:numPr>
        <w:suppressAutoHyphens/>
        <w:spacing w:after="120"/>
        <w:rPr>
          <w:spacing w:val="-3"/>
        </w:rPr>
      </w:pPr>
      <w:r w:rsidRPr="00C16FF6">
        <w:rPr>
          <w:szCs w:val="22"/>
        </w:rPr>
        <w:t>When no excess emissions have occurred or the continuous monitoring system(s) have not been inoperative, repaired, or adjusted, such information shall be stated in the report.</w:t>
      </w:r>
    </w:p>
    <w:p w14:paraId="06752F43" w14:textId="7D8C4F71" w:rsidR="000223E0" w:rsidRDefault="001B61A8" w:rsidP="000223E0">
      <w:pPr>
        <w:pStyle w:val="ListParagraph"/>
        <w:suppressAutoHyphens/>
        <w:spacing w:after="120"/>
        <w:ind w:left="360"/>
        <w:contextualSpacing w:val="0"/>
        <w:rPr>
          <w:spacing w:val="-3"/>
        </w:rPr>
      </w:pPr>
      <w:bookmarkStart w:id="82" w:name="_Hlk523219921"/>
      <w:r w:rsidRPr="0077109B">
        <w:rPr>
          <w:spacing w:val="-3"/>
        </w:rPr>
        <w:t>[40 CFR 60.7(c)(1), (2</w:t>
      </w:r>
      <w:r w:rsidRPr="002A679B">
        <w:rPr>
          <w:spacing w:val="-3"/>
        </w:rPr>
        <w:t>), (3), (4), 60.19(c) &amp; 60.45(g)]</w:t>
      </w:r>
      <w:bookmarkEnd w:id="82"/>
    </w:p>
    <w:p w14:paraId="3CD37538" w14:textId="0AD0A627" w:rsidR="000223E0" w:rsidRPr="000223E0" w:rsidRDefault="000223E0" w:rsidP="000223E0">
      <w:pPr>
        <w:numPr>
          <w:ilvl w:val="0"/>
          <w:numId w:val="2"/>
        </w:numPr>
        <w:tabs>
          <w:tab w:val="clear" w:pos="1836"/>
        </w:tabs>
        <w:suppressAutoHyphens/>
        <w:ind w:left="360" w:hanging="360"/>
        <w:rPr>
          <w:spacing w:val="-3"/>
        </w:rPr>
      </w:pPr>
      <w:bookmarkStart w:id="83" w:name="_Ref504049556"/>
      <w:bookmarkEnd w:id="81"/>
      <w:r w:rsidRPr="00C16FF6">
        <w:rPr>
          <w:szCs w:val="22"/>
          <w:u w:val="single"/>
        </w:rPr>
        <w:t>Summary Report</w:t>
      </w:r>
      <w:r w:rsidRPr="00C16FF6">
        <w:rPr>
          <w:szCs w:val="22"/>
        </w:rPr>
        <w:t xml:space="preserve">.  The summary report form shall contain the information and be in the format shown in Figure 1 (attached) unless otherwise specified by the </w:t>
      </w:r>
      <w:r w:rsidRPr="002A679B">
        <w:rPr>
          <w:szCs w:val="22"/>
        </w:rPr>
        <w:t>Department</w:t>
      </w:r>
      <w:r w:rsidRPr="00C16FF6">
        <w:rPr>
          <w:szCs w:val="22"/>
        </w:rPr>
        <w:t>.  One summary report form shall be submitted for each pollutant monitored at each affected facility.</w:t>
      </w:r>
      <w:bookmarkEnd w:id="83"/>
    </w:p>
    <w:p w14:paraId="7D8FC903" w14:textId="0182E2A4" w:rsidR="000223E0" w:rsidRPr="00F83A85" w:rsidRDefault="00F83A85" w:rsidP="00061DE9">
      <w:pPr>
        <w:pStyle w:val="ListParagraph"/>
        <w:numPr>
          <w:ilvl w:val="0"/>
          <w:numId w:val="72"/>
        </w:numPr>
        <w:suppressAutoHyphens/>
        <w:rPr>
          <w:spacing w:val="-3"/>
        </w:rPr>
      </w:pPr>
      <w:r w:rsidRPr="00C16FF6">
        <w:rPr>
          <w:szCs w:val="22"/>
        </w:rPr>
        <w:t xml:space="preserve">If the total duration of excess emissions for the reporting period is less than 1 percent of the total operating time for the reporting period and CMS downtime for the reporting period is less than 5 percent of the total operating time for the reporting period, only the summary report form shall be submitted and the excess emission report described in 40 CFR 60.7(c) need not be submitted unless requested by the </w:t>
      </w:r>
      <w:r w:rsidRPr="002A679B">
        <w:rPr>
          <w:szCs w:val="22"/>
        </w:rPr>
        <w:t>Department</w:t>
      </w:r>
      <w:r w:rsidRPr="00C16FF6">
        <w:rPr>
          <w:szCs w:val="22"/>
        </w:rPr>
        <w:t>.</w:t>
      </w:r>
    </w:p>
    <w:p w14:paraId="64D099C0" w14:textId="77777777" w:rsidR="00F83A85" w:rsidRPr="00C16FF6" w:rsidRDefault="00F83A85" w:rsidP="00061DE9">
      <w:pPr>
        <w:numPr>
          <w:ilvl w:val="0"/>
          <w:numId w:val="72"/>
        </w:numPr>
        <w:rPr>
          <w:szCs w:val="22"/>
        </w:rPr>
      </w:pPr>
      <w:r w:rsidRPr="00C16FF6">
        <w:rPr>
          <w:szCs w:val="22"/>
        </w:rPr>
        <w:t>If the total duration of excess emissions for the reporting period is 1 percent or greater of the total operating time for the reporting period or the total CMS downtime for the reporting period is 5 percent or greater of the total operating time for the reporting period, the summary report form and the excess emission report described in 40 CFR 60.7(c) shall both be submitted.</w:t>
      </w:r>
    </w:p>
    <w:p w14:paraId="31A7546F" w14:textId="77777777" w:rsidR="00F83A85" w:rsidRPr="00C16FF6" w:rsidRDefault="00F83A85" w:rsidP="00F83A85">
      <w:pPr>
        <w:tabs>
          <w:tab w:val="left" w:pos="4680"/>
        </w:tabs>
        <w:ind w:left="360"/>
        <w:rPr>
          <w:i/>
          <w:szCs w:val="22"/>
        </w:rPr>
      </w:pPr>
      <w:r w:rsidRPr="00C16FF6">
        <w:rPr>
          <w:i/>
          <w:szCs w:val="22"/>
        </w:rPr>
        <w:t>{See attached Figure 1:  Summary Report-Gaseous and Opacity Excess Emission and Monitoring System Performance}</w:t>
      </w:r>
    </w:p>
    <w:p w14:paraId="23255229" w14:textId="636E8834" w:rsidR="00F83A85" w:rsidRDefault="00F83A85" w:rsidP="00F83A85">
      <w:pPr>
        <w:suppressAutoHyphens/>
        <w:spacing w:after="120"/>
        <w:ind w:left="360"/>
        <w:rPr>
          <w:szCs w:val="22"/>
        </w:rPr>
      </w:pPr>
      <w:r w:rsidRPr="00F83A85">
        <w:rPr>
          <w:szCs w:val="22"/>
        </w:rPr>
        <w:t>[40 CFR 60.7(d)(1) and (2)]</w:t>
      </w:r>
    </w:p>
    <w:p w14:paraId="226C1CD8" w14:textId="46EE572B" w:rsidR="00F83A85" w:rsidRPr="00F83A85" w:rsidRDefault="00F83A85" w:rsidP="00F83A85">
      <w:pPr>
        <w:numPr>
          <w:ilvl w:val="0"/>
          <w:numId w:val="2"/>
        </w:numPr>
        <w:tabs>
          <w:tab w:val="clear" w:pos="1836"/>
        </w:tabs>
        <w:suppressAutoHyphens/>
        <w:ind w:left="360" w:hanging="360"/>
        <w:rPr>
          <w:spacing w:val="-3"/>
        </w:rPr>
      </w:pPr>
      <w:r w:rsidRPr="00C16FF6">
        <w:rPr>
          <w:szCs w:val="22"/>
          <w:u w:val="single"/>
        </w:rPr>
        <w:t>Reporting Options</w:t>
      </w:r>
      <w:r w:rsidRPr="00C16FF6">
        <w:rPr>
          <w:szCs w:val="22"/>
        </w:rPr>
        <w:t>.</w:t>
      </w:r>
    </w:p>
    <w:p w14:paraId="4092DE12" w14:textId="5EAE89FB" w:rsidR="00F83A85" w:rsidRPr="00F83A85" w:rsidRDefault="00F83A85" w:rsidP="00061DE9">
      <w:pPr>
        <w:pStyle w:val="ListParagraph"/>
        <w:numPr>
          <w:ilvl w:val="0"/>
          <w:numId w:val="73"/>
        </w:numPr>
        <w:suppressAutoHyphens/>
        <w:rPr>
          <w:spacing w:val="-3"/>
        </w:rPr>
      </w:pPr>
      <w:r w:rsidRPr="00C16FF6">
        <w:rPr>
          <w:szCs w:val="22"/>
        </w:rPr>
        <w:t>Notwithstanding the frequency of reporting requirements specified in 40 CFR 60.7(c), an owner or operator who is required by an applicable subpart to submit excess emissions and monitoring systems performance reports (and summary reports) on a quarterly (or more frequent) basis may reduce the frequency of reporting for that standard to semiannual if the following conditions are met:</w:t>
      </w:r>
    </w:p>
    <w:p w14:paraId="68F05559" w14:textId="2B56FE29" w:rsidR="00F83A85" w:rsidRPr="00F83A85" w:rsidRDefault="00F83A85" w:rsidP="00061DE9">
      <w:pPr>
        <w:pStyle w:val="ListParagraph"/>
        <w:numPr>
          <w:ilvl w:val="0"/>
          <w:numId w:val="74"/>
        </w:numPr>
        <w:suppressAutoHyphens/>
        <w:rPr>
          <w:spacing w:val="-3"/>
        </w:rPr>
      </w:pPr>
      <w:r w:rsidRPr="00C16FF6">
        <w:rPr>
          <w:szCs w:val="22"/>
        </w:rPr>
        <w:t>For 1 full year (e.g., 4 quarterly or 12 monthly reporting periods) the affected facility’s excess emissions and monitoring systems reports submitted to comply with a standard under this part continually demonstrate that the facility is in compliance with the applicable standard;</w:t>
      </w:r>
    </w:p>
    <w:p w14:paraId="4361287C" w14:textId="1807F193" w:rsidR="00F83A85" w:rsidRPr="00F83A85" w:rsidRDefault="00F83A85" w:rsidP="00061DE9">
      <w:pPr>
        <w:pStyle w:val="ListParagraph"/>
        <w:numPr>
          <w:ilvl w:val="0"/>
          <w:numId w:val="74"/>
        </w:numPr>
        <w:suppressAutoHyphens/>
        <w:rPr>
          <w:spacing w:val="-3"/>
        </w:rPr>
      </w:pPr>
      <w:r w:rsidRPr="00C16FF6">
        <w:rPr>
          <w:szCs w:val="22"/>
        </w:rPr>
        <w:t>The owner or operator continues to comply with all recordkeeping and monitoring requirements specified in 40 CFR 60, Subpart A, and the applicable standard; and</w:t>
      </w:r>
    </w:p>
    <w:p w14:paraId="03CB5B70" w14:textId="153D5119" w:rsidR="00F83A85" w:rsidRPr="00F83A85" w:rsidRDefault="00F83A85" w:rsidP="00061DE9">
      <w:pPr>
        <w:pStyle w:val="ListParagraph"/>
        <w:numPr>
          <w:ilvl w:val="0"/>
          <w:numId w:val="74"/>
        </w:numPr>
        <w:suppressAutoHyphens/>
        <w:rPr>
          <w:spacing w:val="-3"/>
        </w:rPr>
      </w:pPr>
      <w:r w:rsidRPr="00C16FF6">
        <w:rPr>
          <w:szCs w:val="22"/>
        </w:rPr>
        <w:t xml:space="preserve">The </w:t>
      </w:r>
      <w:r w:rsidRPr="002A679B">
        <w:rPr>
          <w:szCs w:val="22"/>
        </w:rPr>
        <w:t>Department</w:t>
      </w:r>
      <w:r>
        <w:rPr>
          <w:szCs w:val="22"/>
        </w:rPr>
        <w:t xml:space="preserve"> </w:t>
      </w:r>
      <w:r w:rsidRPr="00C16FF6">
        <w:rPr>
          <w:szCs w:val="22"/>
        </w:rPr>
        <w:t>does not object to a reduced frequency of reporting for the affected facility, as provided in 40 CFR 60.7(e)(2).</w:t>
      </w:r>
    </w:p>
    <w:p w14:paraId="0AB10A87" w14:textId="75DC00F2" w:rsidR="00F83A85" w:rsidRPr="008C48E2" w:rsidRDefault="00F83A85" w:rsidP="00061DE9">
      <w:pPr>
        <w:pStyle w:val="ListParagraph"/>
        <w:numPr>
          <w:ilvl w:val="0"/>
          <w:numId w:val="73"/>
        </w:numPr>
        <w:suppressAutoHyphens/>
        <w:rPr>
          <w:spacing w:val="-3"/>
        </w:rPr>
      </w:pPr>
      <w:r w:rsidRPr="00C16FF6">
        <w:rPr>
          <w:szCs w:val="22"/>
        </w:rPr>
        <w:t xml:space="preserve">The frequency of </w:t>
      </w:r>
      <w:r w:rsidRPr="008C48E2">
        <w:rPr>
          <w:szCs w:val="22"/>
        </w:rPr>
        <w:t>reporting of excess emissions and monitoring systems performance (and summary) reports may be reduced only after the owner or operator notifies the Department in writing of his or her intention to make such a change and the Department does not object to the intended change.  In deciding whether to approve a reduced frequency of reporting, the Department may review information concerning the source’s entire previous performance history during the required recordkeeping period prior to the intended change, including performance test results, monitoring data, and evaluations of an owner or operator’s conformance with operation and maintenance requirements.  Such information may be used by the Department to make a judgment about the source’s potential for noncompliance in the future.  If the Department disapproves the owner or operator’s request to reduce the frequency of reporting, the Department will notify the owner or operator in writing within 45 days after receiving notice of the owner or operator’s intention.  The notification from the Department to the owner or operator will specify the grounds on which the disapproval is based.  In the absence of a notice of disapproval within 45 days, approval is automatically granted.</w:t>
      </w:r>
    </w:p>
    <w:p w14:paraId="20680438" w14:textId="141D2D44" w:rsidR="00F83A85" w:rsidRPr="008C48E2" w:rsidRDefault="00F83A85" w:rsidP="00061DE9">
      <w:pPr>
        <w:pStyle w:val="ListParagraph"/>
        <w:numPr>
          <w:ilvl w:val="0"/>
          <w:numId w:val="73"/>
        </w:numPr>
        <w:suppressAutoHyphens/>
        <w:rPr>
          <w:spacing w:val="-3"/>
        </w:rPr>
      </w:pPr>
      <w:r w:rsidRPr="008C48E2">
        <w:rPr>
          <w:szCs w:val="22"/>
        </w:rPr>
        <w:t xml:space="preserve">As soon as monitoring data indicate that the affected facility is not in compliance with any emission limitation or operating parameter specified in the applicable standard, the frequency of reporting shall revert to the frequency specified in the applicable standard, and the owner or operator shall submit an excess emissions and monitoring systems performance report (and summary report, if required) at the next appropriate reporting period following the noncomplying event.  After demonstrating compliance with the applicable standard for another full year, the owner or operator may again request approval from the </w:t>
      </w:r>
      <w:r w:rsidR="00D80140" w:rsidRPr="008C48E2">
        <w:rPr>
          <w:szCs w:val="22"/>
        </w:rPr>
        <w:t>Department</w:t>
      </w:r>
      <w:r w:rsidRPr="008C48E2">
        <w:rPr>
          <w:szCs w:val="22"/>
        </w:rPr>
        <w:t xml:space="preserve"> to reduce the frequency of reporting for that standard as provided for in 40 CFR 60.7(e)(1) and (e)(2).</w:t>
      </w:r>
    </w:p>
    <w:p w14:paraId="4C912026" w14:textId="6B3EAA9B" w:rsidR="00F83A85" w:rsidRDefault="00F83A85" w:rsidP="00F83A85">
      <w:pPr>
        <w:pStyle w:val="ListParagraph"/>
        <w:suppressAutoHyphens/>
        <w:spacing w:after="120"/>
        <w:ind w:left="360"/>
        <w:contextualSpacing w:val="0"/>
        <w:rPr>
          <w:spacing w:val="-3"/>
        </w:rPr>
      </w:pPr>
      <w:r>
        <w:rPr>
          <w:spacing w:val="-3"/>
        </w:rPr>
        <w:t>[40 CFR 60.7(e)(1)]</w:t>
      </w:r>
    </w:p>
    <w:p w14:paraId="7C9481F9" w14:textId="3DFF3CDC" w:rsidR="00B93D11" w:rsidRPr="008C48E2" w:rsidRDefault="00B93D11" w:rsidP="00B93D11">
      <w:pPr>
        <w:numPr>
          <w:ilvl w:val="0"/>
          <w:numId w:val="2"/>
        </w:numPr>
        <w:tabs>
          <w:tab w:val="clear" w:pos="1836"/>
        </w:tabs>
        <w:spacing w:after="120"/>
        <w:ind w:left="360" w:hanging="360"/>
      </w:pPr>
      <w:bookmarkStart w:id="84" w:name="_Ref520122644"/>
      <w:r w:rsidRPr="008C48E2">
        <w:rPr>
          <w:szCs w:val="22"/>
          <w:u w:val="single"/>
        </w:rPr>
        <w:t>CEMS Reports</w:t>
      </w:r>
      <w:r w:rsidRPr="008C48E2">
        <w:rPr>
          <w:szCs w:val="22"/>
        </w:rPr>
        <w:t xml:space="preserve">.  Operation and maintenance of CEMS shall be carried out according to the requirements of 40 CFR 60; reports thereof shall be submitted to the Compliance Authority within </w:t>
      </w:r>
      <w:r w:rsidR="00552364" w:rsidRPr="008C48E2">
        <w:rPr>
          <w:szCs w:val="22"/>
        </w:rPr>
        <w:t>sixty</w:t>
      </w:r>
      <w:r w:rsidRPr="008C48E2">
        <w:rPr>
          <w:szCs w:val="22"/>
        </w:rPr>
        <w:t xml:space="preserve"> (</w:t>
      </w:r>
      <w:r w:rsidR="00552364" w:rsidRPr="008C48E2">
        <w:rPr>
          <w:szCs w:val="22"/>
        </w:rPr>
        <w:t>6</w:t>
      </w:r>
      <w:r w:rsidRPr="008C48E2">
        <w:rPr>
          <w:szCs w:val="22"/>
        </w:rPr>
        <w:t>0) days following each 6-month period in a calendar year and will include information required under 40 CFR 60.7(c).  The Department reserves the right to modify the format of the reports.  For any periods of excess emissions, as defined in 40 CFR 60.45(g), the reports shall specify the cause and corrective actions taken as well as the specific operational conditions existing (i.e., steady-state output, load charging rate; soot blowing, limiting, or air preheated steam cleaning sequences), during the period of excess emissions.  [Permit No. 0850001-041-AC (PSD-FL-146J &amp; 327G</w:t>
      </w:r>
      <w:r w:rsidR="00942FD5" w:rsidRPr="008C48E2">
        <w:rPr>
          <w:szCs w:val="22"/>
        </w:rPr>
        <w:t>)</w:t>
      </w:r>
      <w:r w:rsidRPr="008C48E2">
        <w:rPr>
          <w:szCs w:val="22"/>
        </w:rPr>
        <w:t>]</w:t>
      </w:r>
      <w:bookmarkEnd w:id="84"/>
    </w:p>
    <w:p w14:paraId="5E23F83D" w14:textId="2BB9BF7A" w:rsidR="00F83A85" w:rsidRPr="00B93D11" w:rsidRDefault="00D80140" w:rsidP="00B93D11">
      <w:pPr>
        <w:numPr>
          <w:ilvl w:val="0"/>
          <w:numId w:val="2"/>
        </w:numPr>
        <w:tabs>
          <w:tab w:val="clear" w:pos="1836"/>
        </w:tabs>
        <w:suppressAutoHyphens/>
        <w:spacing w:after="120"/>
        <w:ind w:left="360" w:hanging="360"/>
        <w:rPr>
          <w:spacing w:val="-3"/>
        </w:rPr>
      </w:pPr>
      <w:r w:rsidRPr="00C16FF6">
        <w:rPr>
          <w:szCs w:val="22"/>
          <w:u w:val="single"/>
        </w:rPr>
        <w:t>Files</w:t>
      </w:r>
      <w:r w:rsidRPr="00C16FF6">
        <w:rPr>
          <w:szCs w:val="22"/>
        </w:rPr>
        <w:t>.  The owner or operator subject to the provisions of 40 CFR 60 shall maintain a file of all measurements, including continuous monitoring system, monitoring device, and performance testing measurements; all continuous monitoring system performance evaluations; all continuous monitoring system or monitoring device calibration checks; adjustments and maintenance performed on these systems or devices; and, all other information required by 40 CFR 60 recorded in a permanent form suitable for inspection.  The file shall be retained for at least 5 (five) years following the date of such measurements, maintenance, reports, and records.  [40 CFR 60.7(f); and Rule 62-213.440(1)(b)2.b., F.A.C.]</w:t>
      </w:r>
    </w:p>
    <w:p w14:paraId="0FF374AE" w14:textId="2A94D88C" w:rsidR="00B93D11" w:rsidRPr="00B93D11" w:rsidRDefault="00B93D11" w:rsidP="00B93D11">
      <w:pPr>
        <w:numPr>
          <w:ilvl w:val="0"/>
          <w:numId w:val="2"/>
        </w:numPr>
        <w:tabs>
          <w:tab w:val="clear" w:pos="1836"/>
        </w:tabs>
        <w:suppressAutoHyphens/>
        <w:spacing w:after="120"/>
        <w:ind w:left="360" w:hanging="360"/>
        <w:rPr>
          <w:spacing w:val="-3"/>
        </w:rPr>
      </w:pPr>
      <w:r w:rsidRPr="00C16FF6">
        <w:rPr>
          <w:szCs w:val="22"/>
          <w:u w:val="single"/>
        </w:rPr>
        <w:t>Used Oil Records</w:t>
      </w:r>
      <w:r w:rsidRPr="00C16FF6">
        <w:rPr>
          <w:szCs w:val="22"/>
        </w:rPr>
        <w:t>.  Records shall be kept of each delivery of “on-specification” used oil with a statement of the origin of the used oil and the quantity delivered/stored for firing.  In addition, monthly records shall be kept of the quantity of “on-specification” used oil fired in these emissions units.  The above records shall be maintained in a form suitable for inspection, retained for a minimum of five years, and be made available upon request.  [Rule 62-213.440(1)(b)2.b., F.A.C.; and 40 CFR 279.61 and 761.20(e)]</w:t>
      </w:r>
    </w:p>
    <w:p w14:paraId="2B443746" w14:textId="37615D1B" w:rsidR="00B93D11" w:rsidRPr="00B93D11" w:rsidRDefault="00B93D11" w:rsidP="00B93D11">
      <w:pPr>
        <w:numPr>
          <w:ilvl w:val="0"/>
          <w:numId w:val="2"/>
        </w:numPr>
        <w:tabs>
          <w:tab w:val="clear" w:pos="1836"/>
        </w:tabs>
        <w:suppressAutoHyphens/>
        <w:spacing w:after="120"/>
        <w:ind w:left="360" w:hanging="360"/>
        <w:rPr>
          <w:spacing w:val="-3"/>
        </w:rPr>
      </w:pPr>
      <w:r w:rsidRPr="00C16FF6">
        <w:rPr>
          <w:szCs w:val="22"/>
          <w:u w:val="single"/>
        </w:rPr>
        <w:t>Summary of Used Oil Analysis</w:t>
      </w:r>
      <w:r w:rsidRPr="00C16FF6">
        <w:rPr>
          <w:szCs w:val="22"/>
        </w:rPr>
        <w:t xml:space="preserve">.  The permittee shall include in the “Annual Operating Report for Air Pollutant Emitting Facility” a summary of the “on-specification” used oil analyses for the calendar year and a </w:t>
      </w:r>
      <w:r w:rsidRPr="000D4ED6">
        <w:rPr>
          <w:szCs w:val="22"/>
        </w:rPr>
        <w:t>statement of the total quantity of “on-specification” used oil fired in Fossil Fuel Fired Steam Generators Nos. 1 and 2 during the calendar year.  [Rule 62-213.440(1)(b)2.b., F.A.C.]</w:t>
      </w:r>
    </w:p>
    <w:p w14:paraId="2D3D9C37" w14:textId="4F9D041D" w:rsidR="00B93D11" w:rsidRPr="00B93D11" w:rsidRDefault="00B93D11" w:rsidP="00B93D11">
      <w:pPr>
        <w:numPr>
          <w:ilvl w:val="0"/>
          <w:numId w:val="2"/>
        </w:numPr>
        <w:tabs>
          <w:tab w:val="clear" w:pos="1836"/>
        </w:tabs>
        <w:suppressAutoHyphens/>
        <w:spacing w:after="120"/>
        <w:ind w:left="360" w:hanging="360"/>
        <w:rPr>
          <w:spacing w:val="-3"/>
        </w:rPr>
      </w:pPr>
      <w:r w:rsidRPr="000D4ED6">
        <w:rPr>
          <w:szCs w:val="22"/>
          <w:u w:val="single"/>
        </w:rPr>
        <w:t>Fuel Sampling and Analysis Program</w:t>
      </w:r>
      <w:r w:rsidRPr="000D4ED6">
        <w:rPr>
          <w:szCs w:val="22"/>
        </w:rPr>
        <w:t xml:space="preserve">.  </w:t>
      </w:r>
      <w:r w:rsidRPr="003025A2">
        <w:rPr>
          <w:szCs w:val="22"/>
        </w:rPr>
        <w:t>The permittee may use of any of the four (4) available fuel oil sampling and analysis methods allowed in 40 CFR Part 75, Appendix D (Optional SO</w:t>
      </w:r>
      <w:r w:rsidRPr="003025A2">
        <w:rPr>
          <w:szCs w:val="22"/>
          <w:vertAlign w:val="subscript"/>
        </w:rPr>
        <w:t>2</w:t>
      </w:r>
      <w:r w:rsidRPr="003025A2">
        <w:rPr>
          <w:szCs w:val="22"/>
        </w:rPr>
        <w:t xml:space="preserve"> Emissions Data Protocol for Gas-Fired and Oil-Fired Units), Section 2.2 “Oil Sampling and Analysis,” Table D-4, and provided here as follows:  Daily Manual Sampling; Flow Proportional/Weekly Composite; In Storage Tank (after addition of fuel to tank); and, As Delivered Sampling (in delivery truck or barge).  [Applicant Request; and, Rule 62-213.440(1), F.A.C.]</w:t>
      </w:r>
    </w:p>
    <w:p w14:paraId="1DABE8BE" w14:textId="34EEDCD1" w:rsidR="002F21F8" w:rsidRPr="008C48E2" w:rsidRDefault="002F21F8" w:rsidP="002F21F8">
      <w:pPr>
        <w:suppressAutoHyphens/>
        <w:spacing w:after="120"/>
        <w:rPr>
          <w:b/>
          <w:spacing w:val="-3"/>
          <w:u w:val="single"/>
        </w:rPr>
      </w:pPr>
      <w:bookmarkStart w:id="85" w:name="_Hlk520124476"/>
      <w:r w:rsidRPr="008C48E2">
        <w:rPr>
          <w:b/>
          <w:spacing w:val="-3"/>
          <w:u w:val="single"/>
        </w:rPr>
        <w:t>Other Requirements</w:t>
      </w:r>
    </w:p>
    <w:p w14:paraId="4A9A1B83" w14:textId="579AF0F0" w:rsidR="002F21F8" w:rsidRPr="008C48E2" w:rsidRDefault="002F21F8" w:rsidP="002F21F8">
      <w:pPr>
        <w:numPr>
          <w:ilvl w:val="0"/>
          <w:numId w:val="2"/>
        </w:numPr>
        <w:tabs>
          <w:tab w:val="clear" w:pos="1836"/>
        </w:tabs>
        <w:suppressAutoHyphens/>
        <w:spacing w:after="120"/>
        <w:ind w:left="360" w:hanging="360"/>
        <w:rPr>
          <w:spacing w:val="-3"/>
        </w:rPr>
      </w:pPr>
      <w:r w:rsidRPr="008C48E2">
        <w:rPr>
          <w:u w:val="single"/>
        </w:rPr>
        <w:t>NSPS Requirements</w:t>
      </w:r>
      <w:r w:rsidRPr="008C48E2">
        <w:t>.  These emissions units are subject to the performance and monitoring requirements of the New Source Performance Standards for Subparts A and D in 40 CFR 60.  For completeness, the provisions of Subparts A and D are included in the Appendices of this permit.  [Rule 62-204.800, F.A.C. and 40 CFR 60, Subpart D]</w:t>
      </w:r>
    </w:p>
    <w:bookmarkEnd w:id="85"/>
    <w:p w14:paraId="5D5D4FC0" w14:textId="3220C19F" w:rsidR="008E6BC8" w:rsidRDefault="00D33789" w:rsidP="00D33789">
      <w:pPr>
        <w:suppressAutoHyphens/>
        <w:spacing w:after="120"/>
        <w:rPr>
          <w:b/>
          <w:szCs w:val="22"/>
          <w:u w:val="single"/>
        </w:rPr>
      </w:pPr>
      <w:r w:rsidRPr="003025A2">
        <w:rPr>
          <w:b/>
          <w:szCs w:val="22"/>
          <w:u w:val="single"/>
        </w:rPr>
        <w:t>40 CFR 63, Subpart UUUUU</w:t>
      </w:r>
      <w:r w:rsidRPr="003025A2">
        <w:rPr>
          <w:szCs w:val="22"/>
          <w:u w:val="single"/>
        </w:rPr>
        <w:t xml:space="preserve"> - </w:t>
      </w:r>
      <w:r w:rsidRPr="003025A2">
        <w:rPr>
          <w:b/>
          <w:szCs w:val="22"/>
          <w:u w:val="single"/>
        </w:rPr>
        <w:t>National Emission Standards for Hazardous Air Pollutants:  Coal- and Oil-Fired Electric Utility Steam Generating Units Requirements {also referred to as the “MATS Rule”}</w:t>
      </w:r>
    </w:p>
    <w:p w14:paraId="032D460C" w14:textId="3E5E4C2A" w:rsidR="00D33789" w:rsidRPr="003025A2" w:rsidRDefault="00D33789" w:rsidP="00D33789">
      <w:pPr>
        <w:numPr>
          <w:ilvl w:val="0"/>
          <w:numId w:val="2"/>
        </w:numPr>
        <w:tabs>
          <w:tab w:val="clear" w:pos="1836"/>
        </w:tabs>
        <w:suppressAutoHyphens/>
        <w:ind w:left="360" w:hanging="360"/>
        <w:rPr>
          <w:szCs w:val="22"/>
        </w:rPr>
      </w:pPr>
      <w:bookmarkStart w:id="86" w:name="_Hlk520124603"/>
      <w:r w:rsidRPr="003025A2">
        <w:rPr>
          <w:szCs w:val="22"/>
          <w:u w:val="single"/>
        </w:rPr>
        <w:t>Subpart UUUUU Requirements</w:t>
      </w:r>
      <w:r w:rsidRPr="003025A2">
        <w:rPr>
          <w:szCs w:val="22"/>
        </w:rPr>
        <w:t xml:space="preserve">.  In addition to the emissions limits shown above, if either unit meets the definition of an oil-fired electric utility steam generating unit in Subpart UUUUU, the permittee shall for that unit also comply with the following emissions limits as applicable, and other Subpart UUUUU </w:t>
      </w:r>
      <w:r w:rsidRPr="00D33789">
        <w:rPr>
          <w:szCs w:val="22"/>
        </w:rPr>
        <w:t>requirements</w:t>
      </w:r>
      <w:r w:rsidRPr="00D33789">
        <w:rPr>
          <w:strike/>
          <w:szCs w:val="22"/>
          <w:highlight w:val="yellow"/>
        </w:rPr>
        <w:t xml:space="preserve"> </w:t>
      </w:r>
      <w:r w:rsidRPr="008C48E2">
        <w:rPr>
          <w:szCs w:val="22"/>
        </w:rPr>
        <w:t>within a 180-day</w:t>
      </w:r>
      <w:r w:rsidRPr="003025A2">
        <w:rPr>
          <w:szCs w:val="22"/>
        </w:rPr>
        <w:t xml:space="preserve"> period following that date to demonstrate compliance.  The permittee must also meet all the applicable requirements of NESHAP 40 CFR 63, Subpart A </w:t>
      </w:r>
      <w:r>
        <w:rPr>
          <w:szCs w:val="22"/>
        </w:rPr>
        <w:t>–</w:t>
      </w:r>
      <w:r w:rsidRPr="003025A2">
        <w:rPr>
          <w:szCs w:val="22"/>
        </w:rPr>
        <w:t xml:space="preserve"> General</w:t>
      </w:r>
      <w:r>
        <w:rPr>
          <w:szCs w:val="22"/>
        </w:rPr>
        <w:t xml:space="preserve"> </w:t>
      </w:r>
      <w:r w:rsidRPr="003025A2">
        <w:rPr>
          <w:szCs w:val="22"/>
        </w:rPr>
        <w:t xml:space="preserve">Provisions which is included in Appendix NESHAP, Subpart A:  General Provisions. </w:t>
      </w:r>
    </w:p>
    <w:bookmarkEnd w:id="86"/>
    <w:p w14:paraId="3B29008E" w14:textId="77777777" w:rsidR="00D33789" w:rsidRPr="003025A2" w:rsidRDefault="00D33789" w:rsidP="008C48E2">
      <w:pPr>
        <w:numPr>
          <w:ilvl w:val="0"/>
          <w:numId w:val="76"/>
        </w:numPr>
        <w:ind w:left="720"/>
        <w:rPr>
          <w:szCs w:val="22"/>
        </w:rPr>
      </w:pPr>
      <w:r w:rsidRPr="003025A2">
        <w:rPr>
          <w:szCs w:val="22"/>
        </w:rPr>
        <w:t xml:space="preserve">Oil fired electric utility steam generating unit meeting the definition of limited-use liquid oil-fired subcategory are not subject to the emission standards, testing and reporting requirements for an Oil-fired electric utility steam generating unit. A “Limited-use liquid oil-fired subcategory” means an oil-fired electric utility steam generating unit with an annual capacity factor of less than 8 percent of its maximum or nameplate heat input, whichever is greater, averaged over a 24-month block contiguous period commencing April 16, 2015. If either unit meets the definition of limited-use it is subject to the following requirements: </w:t>
      </w:r>
    </w:p>
    <w:p w14:paraId="2F07227A" w14:textId="77777777" w:rsidR="00D33789" w:rsidRPr="003025A2" w:rsidRDefault="00D33789" w:rsidP="008C48E2">
      <w:pPr>
        <w:numPr>
          <w:ilvl w:val="1"/>
          <w:numId w:val="76"/>
        </w:numPr>
        <w:ind w:left="1080"/>
        <w:rPr>
          <w:szCs w:val="22"/>
        </w:rPr>
      </w:pPr>
      <w:r w:rsidRPr="003025A2">
        <w:rPr>
          <w:szCs w:val="22"/>
        </w:rPr>
        <w:t>Tune-Ups: Conduct a tune-up of the EGU burner and combustion controls at least each 36 calendar months, or each 48 calendar months if neural network combustion optimization software is employed, as specified in § 63.10021(e).  [63.9991]</w:t>
      </w:r>
    </w:p>
    <w:p w14:paraId="3FC26276" w14:textId="77777777" w:rsidR="00D33789" w:rsidRPr="003025A2" w:rsidRDefault="00D33789" w:rsidP="008C48E2">
      <w:pPr>
        <w:numPr>
          <w:ilvl w:val="1"/>
          <w:numId w:val="76"/>
        </w:numPr>
        <w:ind w:left="1080"/>
        <w:rPr>
          <w:szCs w:val="22"/>
        </w:rPr>
      </w:pPr>
      <w:r w:rsidRPr="003025A2">
        <w:rPr>
          <w:szCs w:val="22"/>
        </w:rPr>
        <w:t>Continuous Compliance: Conducting periodic performance tune-ups of your EGU(s), as specified in § 63.10021(e).  [63.10021]</w:t>
      </w:r>
    </w:p>
    <w:p w14:paraId="1F480EED" w14:textId="77777777" w:rsidR="00D33789" w:rsidRPr="003025A2" w:rsidRDefault="00D33789" w:rsidP="008C48E2">
      <w:pPr>
        <w:numPr>
          <w:ilvl w:val="1"/>
          <w:numId w:val="76"/>
        </w:numPr>
        <w:ind w:left="1080"/>
        <w:rPr>
          <w:szCs w:val="22"/>
        </w:rPr>
      </w:pPr>
      <w:r w:rsidRPr="003025A2">
        <w:rPr>
          <w:szCs w:val="22"/>
        </w:rPr>
        <w:t>Reports: Submit a Semi-Annual Compliance report according to 63.10031(b)</w:t>
      </w:r>
    </w:p>
    <w:p w14:paraId="2A716D92" w14:textId="77777777" w:rsidR="00D33789" w:rsidRPr="003025A2" w:rsidRDefault="00D33789" w:rsidP="008C48E2">
      <w:pPr>
        <w:numPr>
          <w:ilvl w:val="0"/>
          <w:numId w:val="76"/>
        </w:numPr>
        <w:spacing w:after="60"/>
        <w:ind w:left="720"/>
        <w:rPr>
          <w:szCs w:val="22"/>
        </w:rPr>
      </w:pPr>
      <w:r w:rsidRPr="003025A2">
        <w:rPr>
          <w:szCs w:val="22"/>
        </w:rPr>
        <w:t>Oil fired electric utility steam generating units are subject to the following emission standards:</w:t>
      </w:r>
    </w:p>
    <w:p w14:paraId="5C853ADA" w14:textId="77777777" w:rsidR="00D33789" w:rsidRPr="003025A2" w:rsidRDefault="00D33789" w:rsidP="008C48E2">
      <w:pPr>
        <w:numPr>
          <w:ilvl w:val="1"/>
          <w:numId w:val="76"/>
        </w:numPr>
        <w:ind w:left="1080"/>
        <w:rPr>
          <w:szCs w:val="22"/>
        </w:rPr>
      </w:pPr>
      <w:r w:rsidRPr="003025A2">
        <w:rPr>
          <w:i/>
          <w:szCs w:val="22"/>
        </w:rPr>
        <w:t>Filterable Particulate Matter (PM)</w:t>
      </w:r>
      <w:r w:rsidRPr="003025A2">
        <w:rPr>
          <w:szCs w:val="22"/>
        </w:rPr>
        <w:t>.  Emissions of PM shall not exceed either 0.030 pound/million British thermal unit (lb/MMBtu) or 0.30 pound per megawatt-hour (lb/MWh).  In lieu of the filterable PM emission limit, the permittee may select to meet a total HAP metals emission limit of either 8.0 x 10</w:t>
      </w:r>
      <w:r w:rsidRPr="003025A2">
        <w:rPr>
          <w:szCs w:val="22"/>
          <w:vertAlign w:val="superscript"/>
        </w:rPr>
        <w:t>-4</w:t>
      </w:r>
      <w:r w:rsidRPr="003025A2">
        <w:rPr>
          <w:szCs w:val="22"/>
        </w:rPr>
        <w:t xml:space="preserve"> lb/MMBtu or either 8.0 x 10</w:t>
      </w:r>
      <w:r w:rsidRPr="003025A2">
        <w:rPr>
          <w:szCs w:val="22"/>
          <w:vertAlign w:val="superscript"/>
        </w:rPr>
        <w:t>-3</w:t>
      </w:r>
      <w:r w:rsidRPr="003025A2">
        <w:rPr>
          <w:szCs w:val="22"/>
        </w:rPr>
        <w:t xml:space="preserve"> lb/MWh.  Finally, in lieu of ether filterable PM or total HAP metals emission limits the permittee my meet the following individual HAP metal emission limits:</w:t>
      </w:r>
    </w:p>
    <w:p w14:paraId="7E2F9B9A" w14:textId="77777777" w:rsidR="00D33789" w:rsidRPr="003025A2" w:rsidRDefault="00D33789" w:rsidP="008C48E2">
      <w:pPr>
        <w:numPr>
          <w:ilvl w:val="2"/>
          <w:numId w:val="75"/>
        </w:numPr>
        <w:tabs>
          <w:tab w:val="clear" w:pos="2160"/>
        </w:tabs>
        <w:spacing w:after="60"/>
        <w:ind w:left="1440" w:hanging="360"/>
        <w:rPr>
          <w:szCs w:val="22"/>
        </w:rPr>
      </w:pPr>
      <w:r w:rsidRPr="003025A2">
        <w:rPr>
          <w:szCs w:val="22"/>
        </w:rPr>
        <w:t>Antimony (Sb) - 13 pounds per terra Btu (lb/TBtu) or 0.20 pounds per gigawatt hour (lb/GWh).</w:t>
      </w:r>
    </w:p>
    <w:p w14:paraId="03715E0E" w14:textId="77777777" w:rsidR="00D33789" w:rsidRPr="003025A2" w:rsidRDefault="00D33789" w:rsidP="008C48E2">
      <w:pPr>
        <w:numPr>
          <w:ilvl w:val="2"/>
          <w:numId w:val="75"/>
        </w:numPr>
        <w:tabs>
          <w:tab w:val="clear" w:pos="2160"/>
        </w:tabs>
        <w:spacing w:after="60"/>
        <w:ind w:left="1440" w:hanging="360"/>
        <w:rPr>
          <w:szCs w:val="22"/>
        </w:rPr>
      </w:pPr>
      <w:r w:rsidRPr="003025A2">
        <w:rPr>
          <w:szCs w:val="22"/>
        </w:rPr>
        <w:t>Arsenic (As) - 2.8 lb/TBtu or 3.0 x 10</w:t>
      </w:r>
      <w:r w:rsidRPr="003025A2">
        <w:rPr>
          <w:szCs w:val="22"/>
          <w:vertAlign w:val="superscript"/>
        </w:rPr>
        <w:t>-2</w:t>
      </w:r>
      <w:r w:rsidRPr="003025A2">
        <w:rPr>
          <w:szCs w:val="22"/>
        </w:rPr>
        <w:t xml:space="preserve"> lb/GWh.</w:t>
      </w:r>
    </w:p>
    <w:p w14:paraId="2F320359" w14:textId="77777777" w:rsidR="00D33789" w:rsidRPr="003025A2" w:rsidRDefault="00D33789" w:rsidP="008C48E2">
      <w:pPr>
        <w:numPr>
          <w:ilvl w:val="2"/>
          <w:numId w:val="75"/>
        </w:numPr>
        <w:tabs>
          <w:tab w:val="clear" w:pos="2160"/>
        </w:tabs>
        <w:spacing w:after="60"/>
        <w:ind w:left="1440" w:hanging="360"/>
        <w:rPr>
          <w:szCs w:val="22"/>
        </w:rPr>
      </w:pPr>
      <w:r w:rsidRPr="003025A2">
        <w:rPr>
          <w:szCs w:val="22"/>
        </w:rPr>
        <w:t>Beryllium (Be) - 0.20 lb/TBtu or 2.0 x 10</w:t>
      </w:r>
      <w:r w:rsidRPr="003025A2">
        <w:rPr>
          <w:szCs w:val="22"/>
          <w:vertAlign w:val="superscript"/>
        </w:rPr>
        <w:t>-3</w:t>
      </w:r>
      <w:r w:rsidRPr="003025A2">
        <w:rPr>
          <w:szCs w:val="22"/>
        </w:rPr>
        <w:t xml:space="preserve"> lb/GWh.</w:t>
      </w:r>
    </w:p>
    <w:p w14:paraId="2CB73304" w14:textId="77777777" w:rsidR="00D33789" w:rsidRPr="003025A2" w:rsidRDefault="00D33789" w:rsidP="008C48E2">
      <w:pPr>
        <w:numPr>
          <w:ilvl w:val="2"/>
          <w:numId w:val="75"/>
        </w:numPr>
        <w:tabs>
          <w:tab w:val="clear" w:pos="2160"/>
        </w:tabs>
        <w:spacing w:after="60"/>
        <w:ind w:left="1440" w:hanging="360"/>
        <w:rPr>
          <w:szCs w:val="22"/>
        </w:rPr>
      </w:pPr>
      <w:r w:rsidRPr="003025A2">
        <w:rPr>
          <w:szCs w:val="22"/>
        </w:rPr>
        <w:t>Cadmium (Cd) - 0.30 lb/TBtu or 2.0 x 10</w:t>
      </w:r>
      <w:r w:rsidRPr="003025A2">
        <w:rPr>
          <w:szCs w:val="22"/>
          <w:vertAlign w:val="superscript"/>
        </w:rPr>
        <w:t>-3</w:t>
      </w:r>
      <w:r w:rsidRPr="003025A2">
        <w:rPr>
          <w:szCs w:val="22"/>
        </w:rPr>
        <w:t xml:space="preserve"> lb/GWh.</w:t>
      </w:r>
    </w:p>
    <w:p w14:paraId="0B2CF773" w14:textId="77777777" w:rsidR="00D33789" w:rsidRPr="003025A2" w:rsidRDefault="00D33789" w:rsidP="008C48E2">
      <w:pPr>
        <w:numPr>
          <w:ilvl w:val="2"/>
          <w:numId w:val="75"/>
        </w:numPr>
        <w:tabs>
          <w:tab w:val="clear" w:pos="2160"/>
        </w:tabs>
        <w:spacing w:after="60"/>
        <w:ind w:left="1440" w:hanging="360"/>
        <w:rPr>
          <w:szCs w:val="22"/>
        </w:rPr>
      </w:pPr>
      <w:r w:rsidRPr="003025A2">
        <w:rPr>
          <w:szCs w:val="22"/>
        </w:rPr>
        <w:t>Chromium (Cr) - 5.5 lb/TBtu or 6.0 x 10</w:t>
      </w:r>
      <w:r w:rsidRPr="003025A2">
        <w:rPr>
          <w:szCs w:val="22"/>
          <w:vertAlign w:val="superscript"/>
        </w:rPr>
        <w:t>-2</w:t>
      </w:r>
      <w:r w:rsidRPr="003025A2">
        <w:rPr>
          <w:szCs w:val="22"/>
        </w:rPr>
        <w:t xml:space="preserve"> lb/GWh.</w:t>
      </w:r>
    </w:p>
    <w:p w14:paraId="571DA5D5" w14:textId="77777777" w:rsidR="00D33789" w:rsidRPr="003025A2" w:rsidRDefault="00D33789" w:rsidP="008C48E2">
      <w:pPr>
        <w:numPr>
          <w:ilvl w:val="2"/>
          <w:numId w:val="75"/>
        </w:numPr>
        <w:tabs>
          <w:tab w:val="clear" w:pos="2160"/>
        </w:tabs>
        <w:spacing w:after="60"/>
        <w:ind w:left="1440" w:hanging="360"/>
        <w:rPr>
          <w:szCs w:val="22"/>
        </w:rPr>
      </w:pPr>
      <w:r w:rsidRPr="003025A2">
        <w:rPr>
          <w:szCs w:val="22"/>
        </w:rPr>
        <w:t>Cobalt (Co) - 21 lb/TBtu or 0.30 lb/GWh.</w:t>
      </w:r>
    </w:p>
    <w:p w14:paraId="276FB8EB" w14:textId="77777777" w:rsidR="00D33789" w:rsidRPr="003025A2" w:rsidRDefault="00D33789" w:rsidP="008C48E2">
      <w:pPr>
        <w:numPr>
          <w:ilvl w:val="2"/>
          <w:numId w:val="75"/>
        </w:numPr>
        <w:tabs>
          <w:tab w:val="clear" w:pos="2160"/>
        </w:tabs>
        <w:spacing w:after="60"/>
        <w:ind w:left="1440" w:hanging="360"/>
        <w:rPr>
          <w:szCs w:val="22"/>
        </w:rPr>
      </w:pPr>
      <w:r w:rsidRPr="003025A2">
        <w:rPr>
          <w:szCs w:val="22"/>
        </w:rPr>
        <w:t>Lead (Pb) - 8.1 lb/TBtu or 8.0 x 10</w:t>
      </w:r>
      <w:r w:rsidRPr="003025A2">
        <w:rPr>
          <w:szCs w:val="22"/>
          <w:vertAlign w:val="superscript"/>
        </w:rPr>
        <w:t>-2</w:t>
      </w:r>
      <w:r w:rsidRPr="003025A2">
        <w:rPr>
          <w:szCs w:val="22"/>
        </w:rPr>
        <w:t xml:space="preserve"> lb/GWh.</w:t>
      </w:r>
    </w:p>
    <w:p w14:paraId="0415CF5D" w14:textId="77777777" w:rsidR="00D33789" w:rsidRPr="003025A2" w:rsidRDefault="00D33789" w:rsidP="008C48E2">
      <w:pPr>
        <w:numPr>
          <w:ilvl w:val="2"/>
          <w:numId w:val="75"/>
        </w:numPr>
        <w:tabs>
          <w:tab w:val="clear" w:pos="2160"/>
        </w:tabs>
        <w:spacing w:after="60"/>
        <w:ind w:left="1440" w:hanging="360"/>
        <w:rPr>
          <w:szCs w:val="22"/>
        </w:rPr>
      </w:pPr>
      <w:r w:rsidRPr="003025A2">
        <w:rPr>
          <w:szCs w:val="22"/>
        </w:rPr>
        <w:t>Manganese (Mn) - 22 lb/TBtu or 0.30 lb/GWh.</w:t>
      </w:r>
    </w:p>
    <w:p w14:paraId="53C0DAE8" w14:textId="77777777" w:rsidR="00D33789" w:rsidRPr="003025A2" w:rsidRDefault="00D33789" w:rsidP="008C48E2">
      <w:pPr>
        <w:numPr>
          <w:ilvl w:val="2"/>
          <w:numId w:val="75"/>
        </w:numPr>
        <w:tabs>
          <w:tab w:val="clear" w:pos="2160"/>
        </w:tabs>
        <w:spacing w:after="60"/>
        <w:ind w:left="1440" w:hanging="360"/>
        <w:rPr>
          <w:szCs w:val="22"/>
        </w:rPr>
      </w:pPr>
      <w:r w:rsidRPr="003025A2">
        <w:rPr>
          <w:szCs w:val="22"/>
        </w:rPr>
        <w:t>Nickel (Ni) - 111 lb/TBtu or 1.1 lb/GWh.</w:t>
      </w:r>
    </w:p>
    <w:p w14:paraId="289AD1FF" w14:textId="77777777" w:rsidR="00D33789" w:rsidRPr="003025A2" w:rsidRDefault="00D33789" w:rsidP="008C48E2">
      <w:pPr>
        <w:numPr>
          <w:ilvl w:val="2"/>
          <w:numId w:val="75"/>
        </w:numPr>
        <w:tabs>
          <w:tab w:val="clear" w:pos="2160"/>
        </w:tabs>
        <w:spacing w:after="60"/>
        <w:ind w:left="1440" w:hanging="360"/>
        <w:rPr>
          <w:szCs w:val="22"/>
        </w:rPr>
      </w:pPr>
      <w:r w:rsidRPr="003025A2">
        <w:rPr>
          <w:szCs w:val="22"/>
        </w:rPr>
        <w:t>Selenium (Se) - 3.3 lb/TBtu or 4.0 x 10</w:t>
      </w:r>
      <w:r w:rsidRPr="003025A2">
        <w:rPr>
          <w:szCs w:val="22"/>
          <w:vertAlign w:val="superscript"/>
        </w:rPr>
        <w:t>-2</w:t>
      </w:r>
      <w:r w:rsidRPr="003025A2">
        <w:rPr>
          <w:szCs w:val="22"/>
        </w:rPr>
        <w:t xml:space="preserve"> lb/GWh.</w:t>
      </w:r>
    </w:p>
    <w:p w14:paraId="5676E3B3" w14:textId="77777777" w:rsidR="00D33789" w:rsidRPr="003025A2" w:rsidRDefault="00D33789" w:rsidP="008C48E2">
      <w:pPr>
        <w:numPr>
          <w:ilvl w:val="2"/>
          <w:numId w:val="75"/>
        </w:numPr>
        <w:tabs>
          <w:tab w:val="clear" w:pos="2160"/>
        </w:tabs>
        <w:spacing w:after="60"/>
        <w:ind w:left="1440" w:hanging="360"/>
        <w:rPr>
          <w:szCs w:val="22"/>
        </w:rPr>
      </w:pPr>
      <w:r w:rsidRPr="003025A2">
        <w:rPr>
          <w:szCs w:val="22"/>
        </w:rPr>
        <w:t>Mercury (Hg) - 0.20 lb/TBtu or 2.0 x 10</w:t>
      </w:r>
      <w:r w:rsidRPr="003025A2">
        <w:rPr>
          <w:szCs w:val="22"/>
          <w:vertAlign w:val="superscript"/>
        </w:rPr>
        <w:t>-3</w:t>
      </w:r>
      <w:r w:rsidRPr="003025A2">
        <w:rPr>
          <w:szCs w:val="22"/>
        </w:rPr>
        <w:t xml:space="preserve"> lb/GWh.</w:t>
      </w:r>
    </w:p>
    <w:p w14:paraId="2A0A2F7B" w14:textId="77777777" w:rsidR="00D33789" w:rsidRPr="003025A2" w:rsidRDefault="00D33789" w:rsidP="008C48E2">
      <w:pPr>
        <w:numPr>
          <w:ilvl w:val="1"/>
          <w:numId w:val="76"/>
        </w:numPr>
        <w:ind w:left="1080"/>
        <w:rPr>
          <w:szCs w:val="22"/>
        </w:rPr>
      </w:pPr>
      <w:r w:rsidRPr="003025A2">
        <w:rPr>
          <w:i/>
          <w:szCs w:val="22"/>
        </w:rPr>
        <w:t>Hydrogen Chloride (HCl)</w:t>
      </w:r>
      <w:r w:rsidRPr="003025A2">
        <w:rPr>
          <w:szCs w:val="22"/>
        </w:rPr>
        <w:t>.  Emissions of HCl shall not exceed either 2.0 x 10</w:t>
      </w:r>
      <w:r w:rsidRPr="003025A2">
        <w:rPr>
          <w:szCs w:val="22"/>
          <w:vertAlign w:val="superscript"/>
        </w:rPr>
        <w:t>-3</w:t>
      </w:r>
      <w:r w:rsidRPr="003025A2">
        <w:rPr>
          <w:szCs w:val="22"/>
        </w:rPr>
        <w:t xml:space="preserve"> lb/MMBtu or 1.0 x 10</w:t>
      </w:r>
      <w:r w:rsidRPr="003025A2">
        <w:rPr>
          <w:szCs w:val="22"/>
          <w:vertAlign w:val="superscript"/>
        </w:rPr>
        <w:t>-2</w:t>
      </w:r>
      <w:r w:rsidRPr="003025A2">
        <w:rPr>
          <w:szCs w:val="22"/>
        </w:rPr>
        <w:t xml:space="preserve"> lb/MWh.  As an alternative to monitoring and testing, the owner/operator may demonstrate compliance with the HCL limit by retaining records of fuel moisture content indicating less than or equal to 1.0 percent by weight.  Fuel analyses or supplier guarantee may satisfy this requirement.</w:t>
      </w:r>
    </w:p>
    <w:p w14:paraId="63CC5946" w14:textId="77777777" w:rsidR="00D33789" w:rsidRPr="003025A2" w:rsidRDefault="00D33789" w:rsidP="008C48E2">
      <w:pPr>
        <w:numPr>
          <w:ilvl w:val="1"/>
          <w:numId w:val="76"/>
        </w:numPr>
        <w:spacing w:after="60"/>
        <w:ind w:left="1080"/>
        <w:rPr>
          <w:szCs w:val="22"/>
        </w:rPr>
      </w:pPr>
      <w:r w:rsidRPr="003025A2">
        <w:rPr>
          <w:i/>
          <w:szCs w:val="22"/>
        </w:rPr>
        <w:t>Hydrogen Fluoride (HF)</w:t>
      </w:r>
      <w:r w:rsidRPr="003025A2">
        <w:rPr>
          <w:szCs w:val="22"/>
        </w:rPr>
        <w:t>.  Emissions of HF shall not exceed either 4.0 x 10</w:t>
      </w:r>
      <w:r w:rsidRPr="003025A2">
        <w:rPr>
          <w:szCs w:val="22"/>
          <w:vertAlign w:val="superscript"/>
        </w:rPr>
        <w:t>-4</w:t>
      </w:r>
      <w:r w:rsidRPr="003025A2">
        <w:rPr>
          <w:szCs w:val="22"/>
        </w:rPr>
        <w:t xml:space="preserve"> lb/MMBtu or 4.0 x 10</w:t>
      </w:r>
      <w:r w:rsidRPr="003025A2">
        <w:rPr>
          <w:szCs w:val="22"/>
          <w:vertAlign w:val="superscript"/>
        </w:rPr>
        <w:t>-3</w:t>
      </w:r>
      <w:r w:rsidRPr="003025A2">
        <w:rPr>
          <w:szCs w:val="22"/>
        </w:rPr>
        <w:t xml:space="preserve"> lb/MWh.  As an alternative to monitoring and testing, the owner/operator may demonstrate compliance with the HF limit by retaining records of fuel moisture content indicating less than or equal to 1.0 percent by weight.  Fuel analyses or supplier guarantee may satisfy this requirement.</w:t>
      </w:r>
    </w:p>
    <w:p w14:paraId="2DB0C848" w14:textId="66071263" w:rsidR="00D33789" w:rsidRDefault="00D33789" w:rsidP="008C48E2">
      <w:pPr>
        <w:ind w:left="720"/>
        <w:rPr>
          <w:szCs w:val="22"/>
        </w:rPr>
      </w:pPr>
      <w:r w:rsidRPr="003025A2">
        <w:rPr>
          <w:szCs w:val="22"/>
        </w:rPr>
        <w:t>Compliance with the above emissions limits shall be demonstrated pursuant to one of the available options specified in 40 CFR 63, Subpart UUUUU (see attached Appendix NESHAP, Subpart UUUUU:  Coal- and Oil-Fired Electric Utility Steam Generating Units).  The permittee shall also comply with the recordkeeping and reporting requirements specified Subpart UUUUU, as applicable.  [40 CFR 63.9991 and Table 2 to Subpart UUUUU.]</w:t>
      </w:r>
    </w:p>
    <w:p w14:paraId="2D894CC8" w14:textId="4E69C963" w:rsidR="008E6BC8" w:rsidRDefault="00585225" w:rsidP="00A86472">
      <w:pPr>
        <w:tabs>
          <w:tab w:val="left" w:pos="0"/>
        </w:tabs>
        <w:suppressAutoHyphens/>
        <w:spacing w:before="120" w:after="120"/>
      </w:pPr>
      <w:hyperlink w:anchor="TableofContents" w:tooltip=" " w:history="1">
        <w:r w:rsidR="00C638F9" w:rsidRPr="00C638F9">
          <w:rPr>
            <w:rStyle w:val="Hyperlink"/>
          </w:rPr>
          <w:t xml:space="preserve">Table of </w:t>
        </w:r>
        <w:r w:rsidR="00C638F9" w:rsidRPr="00C638F9">
          <w:rPr>
            <w:rStyle w:val="Hyperlink"/>
          </w:rPr>
          <w:t>C</w:t>
        </w:r>
        <w:r w:rsidR="00C638F9" w:rsidRPr="00C638F9">
          <w:rPr>
            <w:rStyle w:val="Hyperlink"/>
          </w:rPr>
          <w:t>ontents</w:t>
        </w:r>
      </w:hyperlink>
    </w:p>
    <w:p w14:paraId="5FC95296" w14:textId="43A1B428" w:rsidR="00C638F9" w:rsidRDefault="00C638F9" w:rsidP="00A86472">
      <w:pPr>
        <w:tabs>
          <w:tab w:val="left" w:pos="0"/>
        </w:tabs>
        <w:suppressAutoHyphens/>
        <w:spacing w:before="120" w:after="120"/>
        <w:sectPr w:rsidR="00C638F9" w:rsidSect="000A0A5C">
          <w:headerReference w:type="even" r:id="rId46"/>
          <w:headerReference w:type="default" r:id="rId47"/>
          <w:headerReference w:type="first" r:id="rId48"/>
          <w:pgSz w:w="12240" w:h="15840" w:code="1"/>
          <w:pgMar w:top="1080" w:right="1080" w:bottom="1080" w:left="1080" w:header="720" w:footer="720" w:gutter="0"/>
          <w:paperSrc w:first="15" w:other="15"/>
          <w:cols w:space="720"/>
        </w:sectPr>
      </w:pPr>
    </w:p>
    <w:p w14:paraId="49723C87" w14:textId="77777777" w:rsidR="009F0075" w:rsidRPr="00B91D1B" w:rsidRDefault="009F0075" w:rsidP="00511F14">
      <w:pPr>
        <w:spacing w:after="60"/>
        <w:rPr>
          <w:szCs w:val="22"/>
        </w:rPr>
      </w:pPr>
      <w:bookmarkStart w:id="87" w:name="Section3B"/>
      <w:bookmarkEnd w:id="87"/>
      <w:r w:rsidRPr="003B37A7">
        <w:rPr>
          <w:b/>
        </w:rPr>
        <w:t>The specific conditions in this section apply to the following emissions unit</w:t>
      </w:r>
      <w:r w:rsidR="008E6BC8" w:rsidRPr="003B37A7">
        <w:rPr>
          <w:b/>
        </w:rPr>
        <w:t>(</w:t>
      </w:r>
      <w:r w:rsidRPr="003B37A7">
        <w:rPr>
          <w:b/>
        </w:rPr>
        <w:t>s</w:t>
      </w:r>
      <w:r w:rsidR="008E6BC8" w:rsidRPr="003B37A7">
        <w:rPr>
          <w:b/>
        </w:rPr>
        <w:t>)</w:t>
      </w:r>
      <w:r w:rsidRPr="003B37A7">
        <w:rPr>
          <w:b/>
        </w:rPr>
        <w:t>:</w:t>
      </w:r>
    </w:p>
    <w:tbl>
      <w:tblPr>
        <w:tblW w:w="9954" w:type="dxa"/>
        <w:tblInd w:w="108"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top w:w="43" w:type="dxa"/>
          <w:left w:w="72" w:type="dxa"/>
          <w:bottom w:w="43" w:type="dxa"/>
          <w:right w:w="72" w:type="dxa"/>
        </w:tblCellMar>
        <w:tblLook w:val="0000" w:firstRow="0" w:lastRow="0" w:firstColumn="0" w:lastColumn="0" w:noHBand="0" w:noVBand="0"/>
      </w:tblPr>
      <w:tblGrid>
        <w:gridCol w:w="939"/>
        <w:gridCol w:w="9015"/>
      </w:tblGrid>
      <w:tr w:rsidR="009F0075" w14:paraId="1A4B7CFA" w14:textId="77777777" w:rsidTr="003B2036">
        <w:tc>
          <w:tcPr>
            <w:tcW w:w="939" w:type="dxa"/>
            <w:tcBorders>
              <w:top w:val="single" w:sz="12" w:space="0" w:color="auto"/>
              <w:left w:val="single" w:sz="12" w:space="0" w:color="auto"/>
              <w:bottom w:val="single" w:sz="12" w:space="0" w:color="auto"/>
            </w:tcBorders>
          </w:tcPr>
          <w:p w14:paraId="3E88E06F" w14:textId="77777777" w:rsidR="009F0075" w:rsidRPr="00D075B0" w:rsidRDefault="009F0075" w:rsidP="00511F14">
            <w:pPr>
              <w:spacing w:after="60"/>
              <w:jc w:val="center"/>
              <w:rPr>
                <w:b/>
                <w:szCs w:val="22"/>
              </w:rPr>
            </w:pPr>
            <w:r w:rsidRPr="00D075B0">
              <w:rPr>
                <w:szCs w:val="22"/>
              </w:rPr>
              <w:br w:type="page"/>
            </w:r>
            <w:r w:rsidRPr="00D075B0">
              <w:rPr>
                <w:szCs w:val="22"/>
              </w:rPr>
              <w:br w:type="page"/>
            </w:r>
            <w:r w:rsidRPr="00D075B0">
              <w:rPr>
                <w:b/>
                <w:szCs w:val="22"/>
              </w:rPr>
              <w:t>EU No.</w:t>
            </w:r>
          </w:p>
        </w:tc>
        <w:tc>
          <w:tcPr>
            <w:tcW w:w="9015" w:type="dxa"/>
            <w:tcBorders>
              <w:top w:val="single" w:sz="12" w:space="0" w:color="auto"/>
              <w:bottom w:val="single" w:sz="12" w:space="0" w:color="auto"/>
              <w:right w:val="single" w:sz="12" w:space="0" w:color="auto"/>
            </w:tcBorders>
          </w:tcPr>
          <w:p w14:paraId="2416D08D" w14:textId="77777777" w:rsidR="009F0075" w:rsidRPr="00D075B0" w:rsidRDefault="009F0075" w:rsidP="00511F14">
            <w:pPr>
              <w:spacing w:after="60"/>
              <w:rPr>
                <w:b/>
                <w:szCs w:val="22"/>
              </w:rPr>
            </w:pPr>
            <w:r w:rsidRPr="00D075B0">
              <w:rPr>
                <w:b/>
                <w:szCs w:val="22"/>
              </w:rPr>
              <w:t>Brief Description</w:t>
            </w:r>
          </w:p>
        </w:tc>
      </w:tr>
      <w:tr w:rsidR="009F0075" w14:paraId="50708CCB" w14:textId="77777777" w:rsidTr="003B2036">
        <w:tc>
          <w:tcPr>
            <w:tcW w:w="939" w:type="dxa"/>
            <w:tcBorders>
              <w:top w:val="single" w:sz="12" w:space="0" w:color="auto"/>
              <w:left w:val="single" w:sz="12" w:space="0" w:color="auto"/>
            </w:tcBorders>
            <w:vAlign w:val="center"/>
          </w:tcPr>
          <w:p w14:paraId="5D064ECC" w14:textId="02442D21" w:rsidR="009F0075" w:rsidRPr="003B37A7" w:rsidRDefault="003B37A7" w:rsidP="00D66F5B">
            <w:pPr>
              <w:jc w:val="center"/>
              <w:rPr>
                <w:szCs w:val="22"/>
              </w:rPr>
            </w:pPr>
            <w:r w:rsidRPr="003B37A7">
              <w:rPr>
                <w:szCs w:val="22"/>
              </w:rPr>
              <w:t>003</w:t>
            </w:r>
          </w:p>
        </w:tc>
        <w:tc>
          <w:tcPr>
            <w:tcW w:w="9015" w:type="dxa"/>
            <w:tcBorders>
              <w:top w:val="single" w:sz="12" w:space="0" w:color="auto"/>
              <w:right w:val="single" w:sz="12" w:space="0" w:color="auto"/>
            </w:tcBorders>
          </w:tcPr>
          <w:p w14:paraId="5609C8FE" w14:textId="3FA626E7" w:rsidR="009F0075" w:rsidRPr="003B37A7" w:rsidRDefault="003B37A7" w:rsidP="00D66F5B">
            <w:pPr>
              <w:rPr>
                <w:szCs w:val="22"/>
              </w:rPr>
            </w:pPr>
            <w:r w:rsidRPr="003B37A7">
              <w:rPr>
                <w:szCs w:val="22"/>
              </w:rPr>
              <w:t>CT with HRSG (CT 3A)</w:t>
            </w:r>
          </w:p>
        </w:tc>
      </w:tr>
      <w:tr w:rsidR="003B37A7" w14:paraId="1303F0FD" w14:textId="77777777" w:rsidTr="003B2036">
        <w:tc>
          <w:tcPr>
            <w:tcW w:w="939" w:type="dxa"/>
            <w:tcBorders>
              <w:left w:val="single" w:sz="12" w:space="0" w:color="auto"/>
            </w:tcBorders>
            <w:vAlign w:val="center"/>
          </w:tcPr>
          <w:p w14:paraId="5407FF04" w14:textId="6D725969" w:rsidR="003B37A7" w:rsidRPr="003B37A7" w:rsidRDefault="003B37A7" w:rsidP="00D66F5B">
            <w:pPr>
              <w:jc w:val="center"/>
              <w:rPr>
                <w:szCs w:val="22"/>
              </w:rPr>
            </w:pPr>
            <w:r w:rsidRPr="003B37A7">
              <w:rPr>
                <w:szCs w:val="22"/>
              </w:rPr>
              <w:t>004</w:t>
            </w:r>
          </w:p>
        </w:tc>
        <w:tc>
          <w:tcPr>
            <w:tcW w:w="9015" w:type="dxa"/>
            <w:tcBorders>
              <w:right w:val="single" w:sz="12" w:space="0" w:color="auto"/>
            </w:tcBorders>
          </w:tcPr>
          <w:p w14:paraId="51CF267A" w14:textId="649363CB" w:rsidR="003B37A7" w:rsidRPr="003B37A7" w:rsidRDefault="003B37A7" w:rsidP="00D66F5B">
            <w:r w:rsidRPr="003B37A7">
              <w:t>CT with HRSG (CT 3B)</w:t>
            </w:r>
          </w:p>
        </w:tc>
      </w:tr>
      <w:tr w:rsidR="003B37A7" w14:paraId="1DA246EF" w14:textId="77777777" w:rsidTr="003B2036">
        <w:tc>
          <w:tcPr>
            <w:tcW w:w="939" w:type="dxa"/>
            <w:tcBorders>
              <w:left w:val="single" w:sz="12" w:space="0" w:color="auto"/>
            </w:tcBorders>
            <w:vAlign w:val="center"/>
          </w:tcPr>
          <w:p w14:paraId="4AF366A2" w14:textId="5A406089" w:rsidR="003B37A7" w:rsidRPr="003B37A7" w:rsidRDefault="003B37A7" w:rsidP="00D66F5B">
            <w:pPr>
              <w:jc w:val="center"/>
              <w:rPr>
                <w:szCs w:val="22"/>
              </w:rPr>
            </w:pPr>
            <w:r w:rsidRPr="003B37A7">
              <w:rPr>
                <w:szCs w:val="22"/>
              </w:rPr>
              <w:t>005</w:t>
            </w:r>
          </w:p>
        </w:tc>
        <w:tc>
          <w:tcPr>
            <w:tcW w:w="9015" w:type="dxa"/>
            <w:tcBorders>
              <w:right w:val="single" w:sz="12" w:space="0" w:color="auto"/>
            </w:tcBorders>
          </w:tcPr>
          <w:p w14:paraId="76B5203A" w14:textId="5BBE2E1E" w:rsidR="003B37A7" w:rsidRPr="003B37A7" w:rsidRDefault="003B37A7" w:rsidP="00D66F5B">
            <w:r w:rsidRPr="003B37A7">
              <w:t>CT with HRSG (CT 4A)</w:t>
            </w:r>
          </w:p>
        </w:tc>
      </w:tr>
      <w:tr w:rsidR="003B37A7" w14:paraId="25ACAFE1" w14:textId="77777777" w:rsidTr="003B2036">
        <w:tc>
          <w:tcPr>
            <w:tcW w:w="939" w:type="dxa"/>
            <w:tcBorders>
              <w:left w:val="single" w:sz="12" w:space="0" w:color="auto"/>
              <w:bottom w:val="single" w:sz="12" w:space="0" w:color="auto"/>
            </w:tcBorders>
            <w:vAlign w:val="center"/>
          </w:tcPr>
          <w:p w14:paraId="75880E05" w14:textId="4425C381" w:rsidR="003B37A7" w:rsidRPr="003B37A7" w:rsidRDefault="003B37A7" w:rsidP="00D66F5B">
            <w:pPr>
              <w:jc w:val="center"/>
              <w:rPr>
                <w:szCs w:val="22"/>
              </w:rPr>
            </w:pPr>
            <w:r w:rsidRPr="003B37A7">
              <w:rPr>
                <w:szCs w:val="22"/>
              </w:rPr>
              <w:t>006</w:t>
            </w:r>
          </w:p>
        </w:tc>
        <w:tc>
          <w:tcPr>
            <w:tcW w:w="9015" w:type="dxa"/>
            <w:tcBorders>
              <w:bottom w:val="single" w:sz="12" w:space="0" w:color="auto"/>
              <w:right w:val="single" w:sz="12" w:space="0" w:color="auto"/>
            </w:tcBorders>
          </w:tcPr>
          <w:p w14:paraId="7F8ED5CA" w14:textId="0E6A1B12" w:rsidR="003B37A7" w:rsidRPr="003B37A7" w:rsidRDefault="003B37A7" w:rsidP="00D66F5B">
            <w:r w:rsidRPr="003B37A7">
              <w:t>CT with HRSG (CT 4B)</w:t>
            </w:r>
          </w:p>
        </w:tc>
      </w:tr>
    </w:tbl>
    <w:p w14:paraId="511E5281" w14:textId="6CCFF0A6" w:rsidR="003B2036" w:rsidRPr="00C16FF6" w:rsidRDefault="00B75A63" w:rsidP="003B2036">
      <w:pPr>
        <w:spacing w:before="120" w:after="120"/>
        <w:rPr>
          <w:szCs w:val="22"/>
        </w:rPr>
      </w:pPr>
      <w:bookmarkStart w:id="88" w:name="_Hlk520202834"/>
      <w:r w:rsidRPr="008C48E2">
        <w:rPr>
          <w:szCs w:val="22"/>
        </w:rPr>
        <w:t>All four CTs are identical General Electric (GE) Model</w:t>
      </w:r>
      <w:r w:rsidR="003527F0" w:rsidRPr="008C48E2">
        <w:rPr>
          <w:szCs w:val="22"/>
        </w:rPr>
        <w:t xml:space="preserve"> MS7001FA CT-electrical generators.  CTs 3A and 4A are paired with CTs 3B and 4B, respectively, in a pair of “two-on-one” arrangements.  A common steam turbine electrical generator (STEG) is shared by each pair of CTs.  Exhaust from each pair vents through an unfired HRSG to produce steam, which is vented through the STEG.</w:t>
      </w:r>
      <w:r w:rsidRPr="008C48E2">
        <w:rPr>
          <w:szCs w:val="22"/>
        </w:rPr>
        <w:t xml:space="preserve"> </w:t>
      </w:r>
      <w:r w:rsidR="003B2036" w:rsidRPr="008C48E2">
        <w:rPr>
          <w:szCs w:val="22"/>
        </w:rPr>
        <w:t xml:space="preserve"> NO</w:t>
      </w:r>
      <w:r w:rsidR="003B2036" w:rsidRPr="008C48E2">
        <w:rPr>
          <w:szCs w:val="22"/>
          <w:vertAlign w:val="subscript"/>
        </w:rPr>
        <w:t>X</w:t>
      </w:r>
      <w:r w:rsidR="003B2036" w:rsidRPr="008C48E2">
        <w:rPr>
          <w:szCs w:val="22"/>
        </w:rPr>
        <w:t xml:space="preserve"> emissions are controlled by using dry low NO</w:t>
      </w:r>
      <w:r w:rsidR="003B2036" w:rsidRPr="008C48E2">
        <w:rPr>
          <w:szCs w:val="22"/>
          <w:vertAlign w:val="subscript"/>
        </w:rPr>
        <w:t>X</w:t>
      </w:r>
      <w:r w:rsidR="003B2036" w:rsidRPr="008C48E2">
        <w:rPr>
          <w:szCs w:val="22"/>
        </w:rPr>
        <w:t xml:space="preserve"> (DLN) combustors for natural gas with steam injection for fuel oil firing.  Steam injection is also used for power augmentation.  Inlet foggers installed at the compressor inlet to each of the four CT units reduce the turbine inlet air temperature.  The temperature reduction improves the</w:t>
      </w:r>
      <w:r w:rsidR="003B2036" w:rsidRPr="00C16FF6">
        <w:rPr>
          <w:szCs w:val="22"/>
        </w:rPr>
        <w:t xml:space="preserve"> heat rate and increases power due to the cooler/denser inlet air.  Duct modules suitable for future installation of selective catalytic reduction (SCR) equipment have been installed on each combined cycle generating unit.  CT 3A and CT 3B commenced commercial operation in February 1994.  CT 4A and CT 4B commenced commercial operation in April 1994.  For all CT, the stack parameters are:  stack heights 213 feet; stack diameter 20 feet; flow rate 2,420,307 acfm at 280ºF; and exit velocity 128.4 fps.</w:t>
      </w:r>
    </w:p>
    <w:p w14:paraId="748C1336" w14:textId="53E50599" w:rsidR="003B2036" w:rsidRDefault="003B2036" w:rsidP="003B2036">
      <w:pPr>
        <w:tabs>
          <w:tab w:val="left" w:pos="0"/>
        </w:tabs>
        <w:suppressAutoHyphens/>
        <w:spacing w:before="120" w:after="120"/>
        <w:jc w:val="both"/>
        <w:rPr>
          <w:szCs w:val="22"/>
        </w:rPr>
      </w:pPr>
      <w:r w:rsidRPr="00C16FF6">
        <w:rPr>
          <w:szCs w:val="22"/>
        </w:rPr>
        <w:t>CAM is not applicable to these CT’s since DLN combustors when firing natural gas are not considered a pollution control device under 40 CFR 64.  When firing distillate fuel oil, compliance with the emissions limits are determined using CEMS data, and therefore the requirements of CAM are not required.</w:t>
      </w:r>
    </w:p>
    <w:p w14:paraId="14149B45" w14:textId="40C7785A" w:rsidR="00347CCB" w:rsidRPr="008C48E2" w:rsidRDefault="00347CCB" w:rsidP="00347CCB">
      <w:pPr>
        <w:tabs>
          <w:tab w:val="left" w:pos="0"/>
        </w:tabs>
        <w:suppressAutoHyphens/>
        <w:spacing w:before="120" w:after="120"/>
        <w:rPr>
          <w:i/>
          <w:szCs w:val="22"/>
        </w:rPr>
      </w:pPr>
      <w:bookmarkStart w:id="89" w:name="_Hlk520203541"/>
      <w:r w:rsidRPr="008C48E2">
        <w:rPr>
          <w:i/>
          <w:szCs w:val="22"/>
        </w:rPr>
        <w:t xml:space="preserve">{Permitting Note:  </w:t>
      </w:r>
      <w:r w:rsidRPr="008C48E2">
        <w:rPr>
          <w:i/>
        </w:rPr>
        <w:t>These emissions units are regulated under:  40 CFR 60, Subpart A, General Provisions, and Subpart GG, Standards of Performance for Stationary Gas Turbines, adopted by reference in Rule 62-204.800(8)(d) and (8)(b)42., F.A.C., respectively; Rule 62-212.400, Best Available Control Technology (BACT) limits for NO</w:t>
      </w:r>
      <w:r w:rsidRPr="008C48E2">
        <w:rPr>
          <w:i/>
          <w:vertAlign w:val="subscript"/>
        </w:rPr>
        <w:t>X</w:t>
      </w:r>
      <w:r w:rsidRPr="008C48E2">
        <w:rPr>
          <w:i/>
        </w:rPr>
        <w:t>, VOC, carbon monoxide (CO), PM and PM less than 10 microns in diameter (PM</w:t>
      </w:r>
      <w:r w:rsidRPr="008C48E2">
        <w:rPr>
          <w:i/>
          <w:vertAlign w:val="subscript"/>
        </w:rPr>
        <w:t>10</w:t>
      </w:r>
      <w:r w:rsidRPr="008C48E2">
        <w:rPr>
          <w:i/>
        </w:rPr>
        <w:t>), lead (Pb)</w:t>
      </w:r>
      <w:r w:rsidR="003723E3" w:rsidRPr="008C48E2">
        <w:rPr>
          <w:i/>
        </w:rPr>
        <w:t xml:space="preserve"> and SO</w:t>
      </w:r>
      <w:r w:rsidR="003723E3" w:rsidRPr="008C48E2">
        <w:rPr>
          <w:i/>
          <w:vertAlign w:val="subscript"/>
        </w:rPr>
        <w:t>2</w:t>
      </w:r>
      <w:r w:rsidR="003723E3" w:rsidRPr="008C48E2">
        <w:rPr>
          <w:i/>
        </w:rPr>
        <w:t>; and Chapter 62-214, F.A.C., the Phase II Acid Rain Program as specified in Section IV of this Permit}</w:t>
      </w:r>
    </w:p>
    <w:bookmarkEnd w:id="88"/>
    <w:bookmarkEnd w:id="89"/>
    <w:p w14:paraId="4CBB2F08" w14:textId="77777777" w:rsidR="003B2036" w:rsidRPr="00C16FF6" w:rsidRDefault="003B2036" w:rsidP="003B2036">
      <w:pPr>
        <w:spacing w:after="120"/>
        <w:rPr>
          <w:i/>
          <w:szCs w:val="22"/>
        </w:rPr>
      </w:pPr>
      <w:r w:rsidRPr="00C16FF6">
        <w:rPr>
          <w:i/>
          <w:szCs w:val="22"/>
        </w:rPr>
        <w:t>{Permitting Note:  The following emissions, determined by BACT, are tabulated for informational purposes only (i.e., PSD and inventory use) in permit No. PSD-FL-146, Specific Condition No. 5}:</w:t>
      </w:r>
    </w:p>
    <w:tbl>
      <w:tblPr>
        <w:tblW w:w="0" w:type="auto"/>
        <w:tblInd w:w="108" w:type="dxa"/>
        <w:tblLayout w:type="fixed"/>
        <w:tblLook w:val="0000" w:firstRow="0" w:lastRow="0" w:firstColumn="0" w:lastColumn="0" w:noHBand="0" w:noVBand="0"/>
      </w:tblPr>
      <w:tblGrid>
        <w:gridCol w:w="2896"/>
        <w:gridCol w:w="1234"/>
        <w:gridCol w:w="1483"/>
        <w:gridCol w:w="4377"/>
      </w:tblGrid>
      <w:tr w:rsidR="003B2036" w:rsidRPr="00C16FF6" w14:paraId="0B45517C" w14:textId="77777777" w:rsidTr="00163D26">
        <w:trPr>
          <w:trHeight w:val="366"/>
        </w:trPr>
        <w:tc>
          <w:tcPr>
            <w:tcW w:w="2896" w:type="dxa"/>
            <w:vMerge w:val="restart"/>
            <w:tcBorders>
              <w:top w:val="single" w:sz="12" w:space="0" w:color="auto"/>
              <w:left w:val="single" w:sz="12" w:space="0" w:color="auto"/>
              <w:right w:val="single" w:sz="12" w:space="0" w:color="auto"/>
            </w:tcBorders>
            <w:shd w:val="clear" w:color="auto" w:fill="auto"/>
            <w:vAlign w:val="center"/>
          </w:tcPr>
          <w:p w14:paraId="4408139B" w14:textId="77777777" w:rsidR="003B2036" w:rsidRPr="00C16FF6" w:rsidRDefault="003B2036" w:rsidP="00AC2BF9">
            <w:pPr>
              <w:jc w:val="center"/>
              <w:rPr>
                <w:b/>
                <w:szCs w:val="22"/>
              </w:rPr>
            </w:pPr>
            <w:r w:rsidRPr="00C16FF6">
              <w:rPr>
                <w:b/>
                <w:szCs w:val="22"/>
              </w:rPr>
              <w:t>Pollutant</w:t>
            </w:r>
          </w:p>
        </w:tc>
        <w:tc>
          <w:tcPr>
            <w:tcW w:w="1234" w:type="dxa"/>
            <w:vMerge w:val="restart"/>
            <w:tcBorders>
              <w:top w:val="single" w:sz="12" w:space="0" w:color="auto"/>
              <w:left w:val="single" w:sz="12" w:space="0" w:color="auto"/>
              <w:right w:val="single" w:sz="12" w:space="0" w:color="auto"/>
            </w:tcBorders>
            <w:shd w:val="clear" w:color="auto" w:fill="auto"/>
            <w:vAlign w:val="center"/>
          </w:tcPr>
          <w:p w14:paraId="04E50903" w14:textId="77777777" w:rsidR="003B2036" w:rsidRPr="00C16FF6" w:rsidRDefault="003B2036" w:rsidP="00AC2BF9">
            <w:pPr>
              <w:jc w:val="center"/>
              <w:rPr>
                <w:b/>
                <w:szCs w:val="22"/>
              </w:rPr>
            </w:pPr>
            <w:r w:rsidRPr="00C16FF6">
              <w:rPr>
                <w:b/>
                <w:szCs w:val="22"/>
              </w:rPr>
              <w:t>Fuel</w:t>
            </w:r>
          </w:p>
        </w:tc>
        <w:tc>
          <w:tcPr>
            <w:tcW w:w="5860" w:type="dxa"/>
            <w:gridSpan w:val="2"/>
            <w:tcBorders>
              <w:top w:val="single" w:sz="12" w:space="0" w:color="auto"/>
              <w:left w:val="single" w:sz="12" w:space="0" w:color="auto"/>
              <w:bottom w:val="single" w:sz="6" w:space="0" w:color="auto"/>
              <w:right w:val="single" w:sz="12" w:space="0" w:color="auto"/>
            </w:tcBorders>
            <w:shd w:val="clear" w:color="auto" w:fill="auto"/>
            <w:vAlign w:val="center"/>
          </w:tcPr>
          <w:p w14:paraId="61977A8D" w14:textId="77777777" w:rsidR="003B2036" w:rsidRPr="00C16FF6" w:rsidRDefault="003B2036" w:rsidP="00AC2BF9">
            <w:pPr>
              <w:jc w:val="center"/>
              <w:rPr>
                <w:b/>
                <w:szCs w:val="22"/>
              </w:rPr>
            </w:pPr>
            <w:r w:rsidRPr="00C16FF6">
              <w:rPr>
                <w:b/>
                <w:szCs w:val="22"/>
              </w:rPr>
              <w:t>Maximum Allowable Emissions @40 ºF</w:t>
            </w:r>
          </w:p>
        </w:tc>
      </w:tr>
      <w:tr w:rsidR="003B2036" w:rsidRPr="00C16FF6" w14:paraId="518D784C" w14:textId="77777777" w:rsidTr="00163D26">
        <w:trPr>
          <w:trHeight w:val="345"/>
        </w:trPr>
        <w:tc>
          <w:tcPr>
            <w:tcW w:w="2896" w:type="dxa"/>
            <w:vMerge/>
            <w:tcBorders>
              <w:left w:val="single" w:sz="12" w:space="0" w:color="auto"/>
              <w:bottom w:val="single" w:sz="12" w:space="0" w:color="auto"/>
              <w:right w:val="single" w:sz="12" w:space="0" w:color="auto"/>
            </w:tcBorders>
            <w:shd w:val="clear" w:color="auto" w:fill="auto"/>
            <w:vAlign w:val="center"/>
          </w:tcPr>
          <w:p w14:paraId="7D53C8DA" w14:textId="77777777" w:rsidR="003B2036" w:rsidRPr="00C16FF6" w:rsidRDefault="003B2036" w:rsidP="00AC2BF9">
            <w:pPr>
              <w:jc w:val="center"/>
              <w:rPr>
                <w:b/>
                <w:szCs w:val="22"/>
              </w:rPr>
            </w:pPr>
          </w:p>
        </w:tc>
        <w:tc>
          <w:tcPr>
            <w:tcW w:w="1234" w:type="dxa"/>
            <w:vMerge/>
            <w:tcBorders>
              <w:left w:val="single" w:sz="12" w:space="0" w:color="auto"/>
              <w:bottom w:val="single" w:sz="12" w:space="0" w:color="auto"/>
              <w:right w:val="single" w:sz="12" w:space="0" w:color="auto"/>
            </w:tcBorders>
            <w:shd w:val="clear" w:color="auto" w:fill="auto"/>
            <w:vAlign w:val="center"/>
          </w:tcPr>
          <w:p w14:paraId="124D45FD" w14:textId="77777777" w:rsidR="003B2036" w:rsidRPr="00C16FF6" w:rsidRDefault="003B2036" w:rsidP="00AC2BF9">
            <w:pPr>
              <w:jc w:val="center"/>
              <w:rPr>
                <w:b/>
                <w:szCs w:val="22"/>
              </w:rPr>
            </w:pPr>
          </w:p>
        </w:tc>
        <w:tc>
          <w:tcPr>
            <w:tcW w:w="1483" w:type="dxa"/>
            <w:tcBorders>
              <w:top w:val="single" w:sz="6" w:space="0" w:color="auto"/>
              <w:left w:val="single" w:sz="12" w:space="0" w:color="auto"/>
              <w:bottom w:val="single" w:sz="12" w:space="0" w:color="auto"/>
              <w:right w:val="single" w:sz="12" w:space="0" w:color="auto"/>
            </w:tcBorders>
            <w:shd w:val="clear" w:color="auto" w:fill="auto"/>
            <w:vAlign w:val="center"/>
          </w:tcPr>
          <w:p w14:paraId="3982B8E0" w14:textId="77777777" w:rsidR="003B2036" w:rsidRPr="00C16FF6" w:rsidRDefault="003B2036" w:rsidP="00AC2BF9">
            <w:pPr>
              <w:jc w:val="center"/>
              <w:rPr>
                <w:b/>
                <w:szCs w:val="22"/>
              </w:rPr>
            </w:pPr>
            <w:r w:rsidRPr="00C16FF6">
              <w:rPr>
                <w:b/>
                <w:szCs w:val="22"/>
              </w:rPr>
              <w:t>lb/hr/CT</w:t>
            </w:r>
          </w:p>
        </w:tc>
        <w:tc>
          <w:tcPr>
            <w:tcW w:w="4377" w:type="dxa"/>
            <w:tcBorders>
              <w:left w:val="single" w:sz="12" w:space="0" w:color="auto"/>
              <w:bottom w:val="single" w:sz="12" w:space="0" w:color="auto"/>
              <w:right w:val="single" w:sz="12" w:space="0" w:color="auto"/>
            </w:tcBorders>
            <w:shd w:val="clear" w:color="auto" w:fill="auto"/>
            <w:vAlign w:val="center"/>
          </w:tcPr>
          <w:p w14:paraId="66FB4B87" w14:textId="77777777" w:rsidR="003B2036" w:rsidRPr="00C16FF6" w:rsidRDefault="003B2036" w:rsidP="00AC2BF9">
            <w:pPr>
              <w:jc w:val="center"/>
              <w:rPr>
                <w:b/>
                <w:szCs w:val="22"/>
              </w:rPr>
            </w:pPr>
            <w:r w:rsidRPr="00C16FF6">
              <w:rPr>
                <w:b/>
                <w:szCs w:val="22"/>
              </w:rPr>
              <w:t xml:space="preserve">TPY/CT </w:t>
            </w:r>
            <w:r w:rsidRPr="00C16FF6">
              <w:rPr>
                <w:b/>
                <w:szCs w:val="22"/>
                <w:vertAlign w:val="superscript"/>
              </w:rPr>
              <w:t>a</w:t>
            </w:r>
          </w:p>
        </w:tc>
      </w:tr>
      <w:tr w:rsidR="003B2036" w:rsidRPr="00C16FF6" w14:paraId="7E8B99C2" w14:textId="77777777" w:rsidTr="00AC2BF9">
        <w:trPr>
          <w:trHeight w:val="309"/>
        </w:trPr>
        <w:tc>
          <w:tcPr>
            <w:tcW w:w="2896" w:type="dxa"/>
            <w:vMerge w:val="restart"/>
            <w:tcBorders>
              <w:top w:val="single" w:sz="12" w:space="0" w:color="auto"/>
              <w:left w:val="single" w:sz="12" w:space="0" w:color="auto"/>
              <w:bottom w:val="single" w:sz="12" w:space="0" w:color="auto"/>
              <w:right w:val="single" w:sz="12" w:space="0" w:color="auto"/>
            </w:tcBorders>
            <w:vAlign w:val="center"/>
          </w:tcPr>
          <w:p w14:paraId="3B4CD7EC" w14:textId="77777777" w:rsidR="003B2036" w:rsidRPr="00C16FF6" w:rsidRDefault="003B2036" w:rsidP="00AC2BF9">
            <w:pPr>
              <w:jc w:val="center"/>
              <w:rPr>
                <w:szCs w:val="22"/>
              </w:rPr>
            </w:pPr>
            <w:r w:rsidRPr="00C16FF6">
              <w:rPr>
                <w:szCs w:val="22"/>
              </w:rPr>
              <w:t>Sulfuric Acid Mist (H</w:t>
            </w:r>
            <w:r w:rsidRPr="00C16FF6">
              <w:rPr>
                <w:szCs w:val="22"/>
                <w:vertAlign w:val="subscript"/>
              </w:rPr>
              <w:t>2</w:t>
            </w:r>
            <w:r w:rsidRPr="00C16FF6">
              <w:rPr>
                <w:szCs w:val="22"/>
              </w:rPr>
              <w:t>SO</w:t>
            </w:r>
            <w:r w:rsidRPr="00C16FF6">
              <w:rPr>
                <w:szCs w:val="22"/>
                <w:vertAlign w:val="subscript"/>
              </w:rPr>
              <w:t>4</w:t>
            </w:r>
            <w:r w:rsidRPr="00C16FF6">
              <w:rPr>
                <w:szCs w:val="22"/>
              </w:rPr>
              <w:t xml:space="preserve">) </w:t>
            </w:r>
            <w:r w:rsidRPr="00C16FF6">
              <w:rPr>
                <w:b/>
                <w:szCs w:val="22"/>
                <w:vertAlign w:val="superscript"/>
              </w:rPr>
              <w:t>b</w:t>
            </w:r>
          </w:p>
        </w:tc>
        <w:tc>
          <w:tcPr>
            <w:tcW w:w="1234" w:type="dxa"/>
            <w:tcBorders>
              <w:top w:val="single" w:sz="12" w:space="0" w:color="auto"/>
              <w:left w:val="single" w:sz="12" w:space="0" w:color="auto"/>
              <w:bottom w:val="single" w:sz="8" w:space="0" w:color="auto"/>
              <w:right w:val="single" w:sz="12" w:space="0" w:color="auto"/>
            </w:tcBorders>
            <w:vAlign w:val="center"/>
          </w:tcPr>
          <w:p w14:paraId="0E044A2F" w14:textId="77777777" w:rsidR="003B2036" w:rsidRPr="00C16FF6" w:rsidRDefault="003B2036" w:rsidP="00AC2BF9">
            <w:pPr>
              <w:jc w:val="center"/>
              <w:rPr>
                <w:szCs w:val="22"/>
              </w:rPr>
            </w:pPr>
            <w:r w:rsidRPr="00C16FF6">
              <w:rPr>
                <w:szCs w:val="22"/>
              </w:rPr>
              <w:t>Gas</w:t>
            </w:r>
          </w:p>
        </w:tc>
        <w:tc>
          <w:tcPr>
            <w:tcW w:w="1483" w:type="dxa"/>
            <w:tcBorders>
              <w:top w:val="single" w:sz="12" w:space="0" w:color="auto"/>
              <w:left w:val="single" w:sz="12" w:space="0" w:color="auto"/>
              <w:bottom w:val="single" w:sz="8" w:space="0" w:color="auto"/>
              <w:right w:val="single" w:sz="12" w:space="0" w:color="auto"/>
            </w:tcBorders>
            <w:vAlign w:val="center"/>
          </w:tcPr>
          <w:p w14:paraId="559EB18F" w14:textId="77777777" w:rsidR="003B2036" w:rsidRPr="00C16FF6" w:rsidRDefault="003B2036" w:rsidP="00AC2BF9">
            <w:pPr>
              <w:jc w:val="center"/>
              <w:rPr>
                <w:szCs w:val="22"/>
              </w:rPr>
            </w:pPr>
            <w:r w:rsidRPr="00C16FF6">
              <w:rPr>
                <w:szCs w:val="22"/>
              </w:rPr>
              <w:t>11.2</w:t>
            </w:r>
          </w:p>
        </w:tc>
        <w:tc>
          <w:tcPr>
            <w:tcW w:w="4377" w:type="dxa"/>
            <w:vMerge w:val="restart"/>
            <w:tcBorders>
              <w:top w:val="single" w:sz="12" w:space="0" w:color="auto"/>
              <w:left w:val="single" w:sz="12" w:space="0" w:color="auto"/>
              <w:right w:val="single" w:sz="12" w:space="0" w:color="auto"/>
            </w:tcBorders>
            <w:vAlign w:val="center"/>
          </w:tcPr>
          <w:p w14:paraId="440E958A" w14:textId="77777777" w:rsidR="003B2036" w:rsidRPr="00C16FF6" w:rsidRDefault="003B2036" w:rsidP="00AC2BF9">
            <w:pPr>
              <w:jc w:val="center"/>
              <w:rPr>
                <w:szCs w:val="22"/>
              </w:rPr>
            </w:pPr>
            <w:r w:rsidRPr="00C16FF6">
              <w:rPr>
                <w:szCs w:val="22"/>
              </w:rPr>
              <w:t>70 (combined gas and oil total)</w:t>
            </w:r>
          </w:p>
        </w:tc>
      </w:tr>
      <w:tr w:rsidR="003B2036" w:rsidRPr="00C16FF6" w14:paraId="413181B8" w14:textId="77777777" w:rsidTr="00AC2BF9">
        <w:tc>
          <w:tcPr>
            <w:tcW w:w="2896" w:type="dxa"/>
            <w:vMerge/>
            <w:tcBorders>
              <w:left w:val="single" w:sz="12" w:space="0" w:color="auto"/>
              <w:bottom w:val="single" w:sz="12" w:space="0" w:color="auto"/>
              <w:right w:val="single" w:sz="12" w:space="0" w:color="auto"/>
            </w:tcBorders>
            <w:vAlign w:val="center"/>
          </w:tcPr>
          <w:p w14:paraId="4C96A462" w14:textId="77777777" w:rsidR="003B2036" w:rsidRPr="00C16FF6" w:rsidRDefault="003B2036" w:rsidP="00AC2BF9">
            <w:pPr>
              <w:jc w:val="center"/>
              <w:rPr>
                <w:szCs w:val="22"/>
              </w:rPr>
            </w:pPr>
          </w:p>
        </w:tc>
        <w:tc>
          <w:tcPr>
            <w:tcW w:w="1234" w:type="dxa"/>
            <w:tcBorders>
              <w:top w:val="single" w:sz="8" w:space="0" w:color="auto"/>
              <w:left w:val="single" w:sz="12" w:space="0" w:color="auto"/>
              <w:bottom w:val="single" w:sz="12" w:space="0" w:color="auto"/>
              <w:right w:val="single" w:sz="12" w:space="0" w:color="auto"/>
            </w:tcBorders>
            <w:vAlign w:val="center"/>
          </w:tcPr>
          <w:p w14:paraId="4A2D15A6" w14:textId="77777777" w:rsidR="003B2036" w:rsidRPr="00C16FF6" w:rsidRDefault="003B2036" w:rsidP="00AC2BF9">
            <w:pPr>
              <w:jc w:val="center"/>
              <w:rPr>
                <w:szCs w:val="22"/>
              </w:rPr>
            </w:pPr>
            <w:r w:rsidRPr="00C16FF6">
              <w:rPr>
                <w:szCs w:val="22"/>
              </w:rPr>
              <w:t>Oil</w:t>
            </w:r>
          </w:p>
        </w:tc>
        <w:tc>
          <w:tcPr>
            <w:tcW w:w="1483" w:type="dxa"/>
            <w:tcBorders>
              <w:top w:val="single" w:sz="8" w:space="0" w:color="auto"/>
              <w:left w:val="single" w:sz="12" w:space="0" w:color="auto"/>
              <w:bottom w:val="single" w:sz="12" w:space="0" w:color="auto"/>
              <w:right w:val="single" w:sz="12" w:space="0" w:color="auto"/>
            </w:tcBorders>
            <w:vAlign w:val="center"/>
          </w:tcPr>
          <w:p w14:paraId="3EA4572C" w14:textId="77777777" w:rsidR="003B2036" w:rsidRPr="00C16FF6" w:rsidRDefault="003B2036" w:rsidP="00AC2BF9">
            <w:pPr>
              <w:jc w:val="center"/>
              <w:rPr>
                <w:szCs w:val="22"/>
              </w:rPr>
            </w:pPr>
            <w:r w:rsidRPr="00C16FF6">
              <w:rPr>
                <w:szCs w:val="22"/>
              </w:rPr>
              <w:t>113</w:t>
            </w:r>
          </w:p>
        </w:tc>
        <w:tc>
          <w:tcPr>
            <w:tcW w:w="4377" w:type="dxa"/>
            <w:vMerge/>
            <w:tcBorders>
              <w:left w:val="single" w:sz="12" w:space="0" w:color="auto"/>
              <w:bottom w:val="single" w:sz="12" w:space="0" w:color="auto"/>
              <w:right w:val="single" w:sz="12" w:space="0" w:color="auto"/>
            </w:tcBorders>
            <w:vAlign w:val="center"/>
          </w:tcPr>
          <w:p w14:paraId="41B112F8" w14:textId="77777777" w:rsidR="003B2036" w:rsidRPr="00C16FF6" w:rsidRDefault="003B2036" w:rsidP="00AC2BF9">
            <w:pPr>
              <w:jc w:val="center"/>
              <w:rPr>
                <w:szCs w:val="22"/>
              </w:rPr>
            </w:pPr>
          </w:p>
        </w:tc>
      </w:tr>
      <w:tr w:rsidR="003B2036" w:rsidRPr="00C16FF6" w14:paraId="2AD02564" w14:textId="77777777" w:rsidTr="00AC2BF9">
        <w:tc>
          <w:tcPr>
            <w:tcW w:w="2896" w:type="dxa"/>
            <w:vMerge w:val="restart"/>
            <w:tcBorders>
              <w:top w:val="single" w:sz="12" w:space="0" w:color="auto"/>
              <w:left w:val="single" w:sz="12" w:space="0" w:color="auto"/>
              <w:right w:val="single" w:sz="12" w:space="0" w:color="auto"/>
            </w:tcBorders>
            <w:vAlign w:val="center"/>
          </w:tcPr>
          <w:p w14:paraId="234A5094" w14:textId="77777777" w:rsidR="003B2036" w:rsidRPr="00C16FF6" w:rsidRDefault="003B2036" w:rsidP="00AC2BF9">
            <w:pPr>
              <w:jc w:val="center"/>
              <w:rPr>
                <w:szCs w:val="22"/>
              </w:rPr>
            </w:pPr>
            <w:r w:rsidRPr="00C16FF6">
              <w:rPr>
                <w:szCs w:val="22"/>
              </w:rPr>
              <w:t>Mercury</w:t>
            </w:r>
          </w:p>
        </w:tc>
        <w:tc>
          <w:tcPr>
            <w:tcW w:w="1234" w:type="dxa"/>
            <w:tcBorders>
              <w:top w:val="single" w:sz="12" w:space="0" w:color="auto"/>
              <w:left w:val="single" w:sz="12" w:space="0" w:color="auto"/>
              <w:bottom w:val="single" w:sz="8" w:space="0" w:color="auto"/>
              <w:right w:val="single" w:sz="12" w:space="0" w:color="auto"/>
            </w:tcBorders>
            <w:vAlign w:val="center"/>
          </w:tcPr>
          <w:p w14:paraId="75020458" w14:textId="77777777" w:rsidR="003B2036" w:rsidRPr="00C16FF6" w:rsidRDefault="003B2036" w:rsidP="00AC2BF9">
            <w:pPr>
              <w:jc w:val="center"/>
              <w:rPr>
                <w:szCs w:val="22"/>
              </w:rPr>
            </w:pPr>
            <w:r w:rsidRPr="00C16FF6">
              <w:rPr>
                <w:szCs w:val="22"/>
              </w:rPr>
              <w:t>Gas</w:t>
            </w:r>
          </w:p>
        </w:tc>
        <w:tc>
          <w:tcPr>
            <w:tcW w:w="1483" w:type="dxa"/>
            <w:tcBorders>
              <w:top w:val="single" w:sz="12" w:space="0" w:color="auto"/>
              <w:left w:val="single" w:sz="12" w:space="0" w:color="auto"/>
              <w:bottom w:val="single" w:sz="8" w:space="0" w:color="auto"/>
              <w:right w:val="single" w:sz="12" w:space="0" w:color="auto"/>
            </w:tcBorders>
            <w:vAlign w:val="center"/>
          </w:tcPr>
          <w:p w14:paraId="696DA837" w14:textId="77777777" w:rsidR="003B2036" w:rsidRPr="00C16FF6" w:rsidRDefault="003B2036" w:rsidP="00AC2BF9">
            <w:pPr>
              <w:jc w:val="center"/>
              <w:rPr>
                <w:szCs w:val="22"/>
              </w:rPr>
            </w:pPr>
            <w:r w:rsidRPr="00C16FF6">
              <w:rPr>
                <w:szCs w:val="22"/>
              </w:rPr>
              <w:t>0.021</w:t>
            </w:r>
          </w:p>
        </w:tc>
        <w:tc>
          <w:tcPr>
            <w:tcW w:w="4377" w:type="dxa"/>
            <w:vMerge w:val="restart"/>
            <w:tcBorders>
              <w:top w:val="single" w:sz="12" w:space="0" w:color="auto"/>
              <w:left w:val="single" w:sz="12" w:space="0" w:color="auto"/>
              <w:bottom w:val="single" w:sz="12" w:space="0" w:color="auto"/>
              <w:right w:val="single" w:sz="12" w:space="0" w:color="auto"/>
            </w:tcBorders>
            <w:vAlign w:val="center"/>
          </w:tcPr>
          <w:p w14:paraId="2EDB36C0" w14:textId="77777777" w:rsidR="003B2036" w:rsidRPr="00C16FF6" w:rsidRDefault="003B2036" w:rsidP="00AC2BF9">
            <w:pPr>
              <w:jc w:val="center"/>
              <w:rPr>
                <w:szCs w:val="22"/>
              </w:rPr>
            </w:pPr>
            <w:r w:rsidRPr="00C16FF6">
              <w:rPr>
                <w:szCs w:val="22"/>
              </w:rPr>
              <w:t>0.34 (combined gas and oil total)</w:t>
            </w:r>
          </w:p>
        </w:tc>
      </w:tr>
      <w:tr w:rsidR="003B2036" w:rsidRPr="00C16FF6" w14:paraId="47FE52E3" w14:textId="77777777" w:rsidTr="00AC2BF9">
        <w:tc>
          <w:tcPr>
            <w:tcW w:w="2896" w:type="dxa"/>
            <w:vMerge/>
            <w:tcBorders>
              <w:left w:val="single" w:sz="12" w:space="0" w:color="auto"/>
              <w:bottom w:val="single" w:sz="12" w:space="0" w:color="auto"/>
              <w:right w:val="single" w:sz="12" w:space="0" w:color="auto"/>
            </w:tcBorders>
            <w:vAlign w:val="center"/>
          </w:tcPr>
          <w:p w14:paraId="0E37254E" w14:textId="77777777" w:rsidR="003B2036" w:rsidRPr="00C16FF6" w:rsidRDefault="003B2036" w:rsidP="00AC2BF9">
            <w:pPr>
              <w:jc w:val="center"/>
              <w:rPr>
                <w:b/>
                <w:szCs w:val="22"/>
              </w:rPr>
            </w:pPr>
          </w:p>
        </w:tc>
        <w:tc>
          <w:tcPr>
            <w:tcW w:w="1234" w:type="dxa"/>
            <w:tcBorders>
              <w:top w:val="single" w:sz="8" w:space="0" w:color="auto"/>
              <w:left w:val="single" w:sz="12" w:space="0" w:color="auto"/>
              <w:bottom w:val="single" w:sz="12" w:space="0" w:color="auto"/>
              <w:right w:val="single" w:sz="12" w:space="0" w:color="auto"/>
            </w:tcBorders>
            <w:vAlign w:val="center"/>
          </w:tcPr>
          <w:p w14:paraId="749EC8BF" w14:textId="77777777" w:rsidR="003B2036" w:rsidRPr="00C16FF6" w:rsidRDefault="003B2036" w:rsidP="00AC2BF9">
            <w:pPr>
              <w:jc w:val="center"/>
              <w:rPr>
                <w:szCs w:val="22"/>
              </w:rPr>
            </w:pPr>
            <w:r w:rsidRPr="00C16FF6">
              <w:rPr>
                <w:szCs w:val="22"/>
              </w:rPr>
              <w:t>Oil</w:t>
            </w:r>
          </w:p>
        </w:tc>
        <w:tc>
          <w:tcPr>
            <w:tcW w:w="1483" w:type="dxa"/>
            <w:tcBorders>
              <w:top w:val="single" w:sz="8" w:space="0" w:color="auto"/>
              <w:left w:val="single" w:sz="12" w:space="0" w:color="auto"/>
              <w:bottom w:val="single" w:sz="12" w:space="0" w:color="auto"/>
              <w:right w:val="single" w:sz="12" w:space="0" w:color="auto"/>
            </w:tcBorders>
            <w:vAlign w:val="center"/>
          </w:tcPr>
          <w:p w14:paraId="0A88360F" w14:textId="77777777" w:rsidR="003B2036" w:rsidRPr="00C16FF6" w:rsidRDefault="003B2036" w:rsidP="00AC2BF9">
            <w:pPr>
              <w:jc w:val="center"/>
              <w:rPr>
                <w:szCs w:val="22"/>
              </w:rPr>
            </w:pPr>
            <w:r w:rsidRPr="00C16FF6">
              <w:rPr>
                <w:szCs w:val="22"/>
              </w:rPr>
              <w:t>0.0052</w:t>
            </w:r>
          </w:p>
        </w:tc>
        <w:tc>
          <w:tcPr>
            <w:tcW w:w="4377" w:type="dxa"/>
            <w:vMerge/>
            <w:tcBorders>
              <w:left w:val="single" w:sz="12" w:space="0" w:color="auto"/>
              <w:bottom w:val="single" w:sz="12" w:space="0" w:color="auto"/>
              <w:right w:val="single" w:sz="12" w:space="0" w:color="auto"/>
            </w:tcBorders>
            <w:vAlign w:val="center"/>
          </w:tcPr>
          <w:p w14:paraId="268E9BDE" w14:textId="77777777" w:rsidR="003B2036" w:rsidRPr="00C16FF6" w:rsidRDefault="003B2036" w:rsidP="00AC2BF9">
            <w:pPr>
              <w:jc w:val="center"/>
              <w:rPr>
                <w:szCs w:val="22"/>
              </w:rPr>
            </w:pPr>
          </w:p>
        </w:tc>
      </w:tr>
      <w:tr w:rsidR="003B2036" w:rsidRPr="00C16FF6" w14:paraId="21E8CE3D" w14:textId="77777777" w:rsidTr="00AC2BF9">
        <w:trPr>
          <w:trHeight w:val="312"/>
        </w:trPr>
        <w:tc>
          <w:tcPr>
            <w:tcW w:w="2896" w:type="dxa"/>
            <w:tcBorders>
              <w:top w:val="single" w:sz="12" w:space="0" w:color="auto"/>
              <w:left w:val="single" w:sz="12" w:space="0" w:color="auto"/>
              <w:bottom w:val="single" w:sz="12" w:space="0" w:color="auto"/>
              <w:right w:val="single" w:sz="12" w:space="0" w:color="auto"/>
            </w:tcBorders>
            <w:vAlign w:val="center"/>
          </w:tcPr>
          <w:p w14:paraId="02BEB3FF" w14:textId="77777777" w:rsidR="003B2036" w:rsidRPr="00C16FF6" w:rsidRDefault="003B2036" w:rsidP="00AC2BF9">
            <w:pPr>
              <w:jc w:val="center"/>
              <w:rPr>
                <w:szCs w:val="22"/>
              </w:rPr>
            </w:pPr>
            <w:r w:rsidRPr="00C16FF6">
              <w:rPr>
                <w:szCs w:val="22"/>
              </w:rPr>
              <w:t>Fluoride</w:t>
            </w:r>
          </w:p>
        </w:tc>
        <w:tc>
          <w:tcPr>
            <w:tcW w:w="1234" w:type="dxa"/>
            <w:tcBorders>
              <w:top w:val="single" w:sz="12" w:space="0" w:color="auto"/>
              <w:left w:val="single" w:sz="12" w:space="0" w:color="auto"/>
              <w:bottom w:val="single" w:sz="12" w:space="0" w:color="auto"/>
              <w:right w:val="single" w:sz="12" w:space="0" w:color="auto"/>
            </w:tcBorders>
            <w:vAlign w:val="center"/>
          </w:tcPr>
          <w:p w14:paraId="690BF5D5" w14:textId="77777777" w:rsidR="003B2036" w:rsidRPr="00C16FF6" w:rsidRDefault="003B2036" w:rsidP="00AC2BF9">
            <w:pPr>
              <w:jc w:val="center"/>
              <w:rPr>
                <w:szCs w:val="22"/>
              </w:rPr>
            </w:pPr>
            <w:r w:rsidRPr="00C16FF6">
              <w:rPr>
                <w:szCs w:val="22"/>
              </w:rPr>
              <w:t>Oil</w:t>
            </w:r>
          </w:p>
        </w:tc>
        <w:tc>
          <w:tcPr>
            <w:tcW w:w="1483" w:type="dxa"/>
            <w:tcBorders>
              <w:top w:val="single" w:sz="12" w:space="0" w:color="auto"/>
              <w:left w:val="single" w:sz="12" w:space="0" w:color="auto"/>
              <w:bottom w:val="single" w:sz="12" w:space="0" w:color="auto"/>
              <w:right w:val="single" w:sz="12" w:space="0" w:color="auto"/>
            </w:tcBorders>
            <w:vAlign w:val="center"/>
          </w:tcPr>
          <w:p w14:paraId="0AE2CF11" w14:textId="77777777" w:rsidR="003B2036" w:rsidRPr="00C16FF6" w:rsidRDefault="003B2036" w:rsidP="00AC2BF9">
            <w:pPr>
              <w:jc w:val="center"/>
              <w:rPr>
                <w:szCs w:val="22"/>
              </w:rPr>
            </w:pPr>
            <w:r w:rsidRPr="00C16FF6">
              <w:rPr>
                <w:szCs w:val="22"/>
              </w:rPr>
              <w:t>0.055</w:t>
            </w:r>
          </w:p>
        </w:tc>
        <w:tc>
          <w:tcPr>
            <w:tcW w:w="4377" w:type="dxa"/>
            <w:tcBorders>
              <w:top w:val="single" w:sz="12" w:space="0" w:color="auto"/>
              <w:left w:val="single" w:sz="12" w:space="0" w:color="auto"/>
              <w:bottom w:val="single" w:sz="12" w:space="0" w:color="auto"/>
              <w:right w:val="single" w:sz="12" w:space="0" w:color="auto"/>
            </w:tcBorders>
            <w:vAlign w:val="center"/>
          </w:tcPr>
          <w:p w14:paraId="3A2E6BC2" w14:textId="77777777" w:rsidR="003B2036" w:rsidRPr="00C16FF6" w:rsidRDefault="003B2036" w:rsidP="00AC2BF9">
            <w:pPr>
              <w:jc w:val="center"/>
              <w:rPr>
                <w:szCs w:val="22"/>
              </w:rPr>
            </w:pPr>
            <w:r w:rsidRPr="00C16FF6">
              <w:rPr>
                <w:szCs w:val="22"/>
              </w:rPr>
              <w:t>0.055</w:t>
            </w:r>
          </w:p>
        </w:tc>
      </w:tr>
      <w:tr w:rsidR="003B2036" w:rsidRPr="00C16FF6" w14:paraId="00D1DC59" w14:textId="77777777" w:rsidTr="00AC2BF9">
        <w:trPr>
          <w:trHeight w:val="330"/>
        </w:trPr>
        <w:tc>
          <w:tcPr>
            <w:tcW w:w="2896" w:type="dxa"/>
            <w:tcBorders>
              <w:top w:val="single" w:sz="12" w:space="0" w:color="auto"/>
              <w:left w:val="single" w:sz="12" w:space="0" w:color="auto"/>
              <w:bottom w:val="single" w:sz="12" w:space="0" w:color="auto"/>
              <w:right w:val="single" w:sz="12" w:space="0" w:color="auto"/>
            </w:tcBorders>
            <w:vAlign w:val="center"/>
          </w:tcPr>
          <w:p w14:paraId="7B3CCF0D" w14:textId="77777777" w:rsidR="003B2036" w:rsidRPr="00C16FF6" w:rsidRDefault="003B2036" w:rsidP="00AC2BF9">
            <w:pPr>
              <w:jc w:val="center"/>
              <w:rPr>
                <w:szCs w:val="22"/>
              </w:rPr>
            </w:pPr>
            <w:r w:rsidRPr="00C16FF6">
              <w:rPr>
                <w:szCs w:val="22"/>
              </w:rPr>
              <w:t>Beryllium</w:t>
            </w:r>
          </w:p>
        </w:tc>
        <w:tc>
          <w:tcPr>
            <w:tcW w:w="1234" w:type="dxa"/>
            <w:tcBorders>
              <w:top w:val="single" w:sz="12" w:space="0" w:color="auto"/>
              <w:left w:val="single" w:sz="12" w:space="0" w:color="auto"/>
              <w:bottom w:val="single" w:sz="12" w:space="0" w:color="auto"/>
              <w:right w:val="single" w:sz="12" w:space="0" w:color="auto"/>
            </w:tcBorders>
            <w:vAlign w:val="center"/>
          </w:tcPr>
          <w:p w14:paraId="66E01E35" w14:textId="77777777" w:rsidR="003B2036" w:rsidRPr="00C16FF6" w:rsidRDefault="003B2036" w:rsidP="00AC2BF9">
            <w:pPr>
              <w:jc w:val="center"/>
              <w:rPr>
                <w:szCs w:val="22"/>
              </w:rPr>
            </w:pPr>
            <w:r w:rsidRPr="00C16FF6">
              <w:rPr>
                <w:szCs w:val="22"/>
              </w:rPr>
              <w:t>Oil</w:t>
            </w:r>
          </w:p>
        </w:tc>
        <w:tc>
          <w:tcPr>
            <w:tcW w:w="1483" w:type="dxa"/>
            <w:tcBorders>
              <w:top w:val="single" w:sz="12" w:space="0" w:color="auto"/>
              <w:left w:val="single" w:sz="12" w:space="0" w:color="auto"/>
              <w:bottom w:val="single" w:sz="12" w:space="0" w:color="auto"/>
              <w:right w:val="single" w:sz="12" w:space="0" w:color="auto"/>
            </w:tcBorders>
            <w:vAlign w:val="center"/>
          </w:tcPr>
          <w:p w14:paraId="3EF3B417" w14:textId="77777777" w:rsidR="003B2036" w:rsidRPr="00C16FF6" w:rsidRDefault="003B2036" w:rsidP="00AC2BF9">
            <w:pPr>
              <w:jc w:val="center"/>
              <w:rPr>
                <w:szCs w:val="22"/>
              </w:rPr>
            </w:pPr>
            <w:r w:rsidRPr="00C16FF6">
              <w:rPr>
                <w:szCs w:val="22"/>
              </w:rPr>
              <w:t>0.004</w:t>
            </w:r>
          </w:p>
        </w:tc>
        <w:tc>
          <w:tcPr>
            <w:tcW w:w="4377" w:type="dxa"/>
            <w:tcBorders>
              <w:top w:val="single" w:sz="12" w:space="0" w:color="auto"/>
              <w:left w:val="single" w:sz="12" w:space="0" w:color="auto"/>
              <w:bottom w:val="single" w:sz="12" w:space="0" w:color="auto"/>
              <w:right w:val="single" w:sz="12" w:space="0" w:color="auto"/>
            </w:tcBorders>
            <w:vAlign w:val="center"/>
          </w:tcPr>
          <w:p w14:paraId="2650B238" w14:textId="77777777" w:rsidR="003B2036" w:rsidRPr="00C16FF6" w:rsidRDefault="003B2036" w:rsidP="00AC2BF9">
            <w:pPr>
              <w:jc w:val="center"/>
              <w:rPr>
                <w:szCs w:val="22"/>
              </w:rPr>
            </w:pPr>
            <w:r w:rsidRPr="00C16FF6">
              <w:rPr>
                <w:szCs w:val="22"/>
              </w:rPr>
              <w:t>0.004</w:t>
            </w:r>
          </w:p>
        </w:tc>
      </w:tr>
      <w:tr w:rsidR="003B2036" w:rsidRPr="00C16FF6" w14:paraId="614F07FB" w14:textId="77777777" w:rsidTr="00AC2BF9">
        <w:trPr>
          <w:trHeight w:val="1401"/>
        </w:trPr>
        <w:tc>
          <w:tcPr>
            <w:tcW w:w="9990" w:type="dxa"/>
            <w:gridSpan w:val="4"/>
            <w:tcBorders>
              <w:top w:val="single" w:sz="6" w:space="0" w:color="auto"/>
              <w:left w:val="single" w:sz="12" w:space="0" w:color="auto"/>
              <w:bottom w:val="single" w:sz="12" w:space="0" w:color="auto"/>
              <w:right w:val="single" w:sz="12" w:space="0" w:color="auto"/>
            </w:tcBorders>
            <w:vAlign w:val="center"/>
          </w:tcPr>
          <w:p w14:paraId="0DFEF92F" w14:textId="77777777" w:rsidR="003B2036" w:rsidRPr="00C16FF6" w:rsidRDefault="003B2036" w:rsidP="00061DE9">
            <w:pPr>
              <w:numPr>
                <w:ilvl w:val="0"/>
                <w:numId w:val="94"/>
              </w:numPr>
              <w:ind w:left="412"/>
              <w:rPr>
                <w:szCs w:val="22"/>
              </w:rPr>
            </w:pPr>
            <w:r w:rsidRPr="00C16FF6">
              <w:rPr>
                <w:szCs w:val="22"/>
              </w:rPr>
              <w:t>Tons per year (TPY) emission limits for natural gas and oil combined apply as an emissions cap based on limiting oil firing to an annual aggregate of 2,000 hours for the 4 CT units, with compliance to be demonstrated in annual operation reports.</w:t>
            </w:r>
          </w:p>
          <w:p w14:paraId="09AA320E" w14:textId="77777777" w:rsidR="003B2036" w:rsidRPr="00C16FF6" w:rsidRDefault="003B2036" w:rsidP="00061DE9">
            <w:pPr>
              <w:numPr>
                <w:ilvl w:val="0"/>
                <w:numId w:val="94"/>
              </w:numPr>
              <w:ind w:left="412"/>
              <w:rPr>
                <w:szCs w:val="22"/>
              </w:rPr>
            </w:pPr>
            <w:r w:rsidRPr="00C16FF6">
              <w:rPr>
                <w:szCs w:val="22"/>
              </w:rPr>
              <w:t>Sulfuric acid mist emissions assume a maximum of 0.5% sulfur content, by weight, in fuel oil for hourly emissions and an average sulfur content of 0.3%, by weight, for annual emissions.</w:t>
            </w:r>
          </w:p>
        </w:tc>
      </w:tr>
    </w:tbl>
    <w:p w14:paraId="35D6A6AC" w14:textId="2FF215EB" w:rsidR="003B2036" w:rsidRDefault="003B2036" w:rsidP="003B2036">
      <w:pPr>
        <w:tabs>
          <w:tab w:val="left" w:pos="0"/>
        </w:tabs>
        <w:suppressAutoHyphens/>
        <w:spacing w:before="120" w:after="120"/>
        <w:jc w:val="both"/>
        <w:rPr>
          <w:szCs w:val="22"/>
        </w:rPr>
      </w:pPr>
      <w:r w:rsidRPr="00C16FF6">
        <w:rPr>
          <w:i/>
          <w:color w:val="000000"/>
          <w:szCs w:val="22"/>
        </w:rPr>
        <w:t>{Permitting Note:  These units were originally permitted under PSD-FL-146 to fire both natural gas and oil.  The equipment necessary to burn fuel oil was not installed prior to the construction expiration date of the PSD permit.  If it is ever desired to fire oil in these units, a new source review applicability determination and related construction permit will be required to provide the authority to modify the units and to evaluate current applicable regulations at the time of the request.  Conditions within this subsection that pertain to the firing of oil have been retained due to their establishment in the underlying PSD permit; however, they shall not apply unless or until a construction permit is issued that provides the authority to modify the units to accommodate oil firing.}</w:t>
      </w:r>
    </w:p>
    <w:p w14:paraId="28B115A9" w14:textId="019CB9AF" w:rsidR="003B37A7" w:rsidRPr="00C16FF6" w:rsidRDefault="003B37A7" w:rsidP="003B2036">
      <w:pPr>
        <w:tabs>
          <w:tab w:val="left" w:pos="0"/>
        </w:tabs>
        <w:suppressAutoHyphens/>
        <w:spacing w:before="120" w:after="120"/>
        <w:jc w:val="both"/>
        <w:rPr>
          <w:b/>
          <w:szCs w:val="22"/>
          <w:u w:val="single"/>
        </w:rPr>
      </w:pPr>
      <w:r w:rsidRPr="00C16FF6">
        <w:rPr>
          <w:b/>
          <w:szCs w:val="22"/>
          <w:u w:val="single"/>
        </w:rPr>
        <w:t>Essential Potential to Emit (PTE) Parameters</w:t>
      </w:r>
    </w:p>
    <w:p w14:paraId="2C98C0BF" w14:textId="2F5D8B3A" w:rsidR="003B37A7" w:rsidRPr="00C16FF6" w:rsidRDefault="003B37A7" w:rsidP="00C638F9">
      <w:pPr>
        <w:numPr>
          <w:ilvl w:val="0"/>
          <w:numId w:val="5"/>
        </w:numPr>
        <w:spacing w:before="120" w:after="120"/>
        <w:ind w:left="270" w:hanging="270"/>
        <w:rPr>
          <w:szCs w:val="22"/>
        </w:rPr>
      </w:pPr>
      <w:r w:rsidRPr="00C16FF6">
        <w:rPr>
          <w:szCs w:val="22"/>
          <w:u w:val="single"/>
        </w:rPr>
        <w:t>Permitted Capacity</w:t>
      </w:r>
      <w:r w:rsidRPr="00C16FF6">
        <w:rPr>
          <w:szCs w:val="22"/>
        </w:rPr>
        <w:t>.  The maximum heat input to each CT shall neither exceed 1,966 MMBtu/hr while firing natural gas, nor 1,846 MMBtu/hr while firing fuel oil at 40 degrees Fahrenheit (ºF).  These heat input limitations are subject to change.  Any changes shall be provided at least 90 days before commercial operation for each fuel available to the site which a unit is capable of firing, at which time this condition may be modified to reflect those parameters.  Each combined cycle’s fuel consumption shall be continuously determined and recorded.  [Rules 62-4.160(2), 62-297.310(</w:t>
      </w:r>
      <w:r w:rsidR="00050FBE">
        <w:rPr>
          <w:szCs w:val="22"/>
        </w:rPr>
        <w:t>3</w:t>
      </w:r>
      <w:r w:rsidRPr="00C16FF6">
        <w:rPr>
          <w:szCs w:val="22"/>
        </w:rPr>
        <w:t>) &amp; 62-210.200(PTE), F.A.C.; and, Permit Nos. PSD-FL-146, PSD-FL-146A (0850001-002-AC &amp; 0850001-003-AC issued 9/6/96</w:t>
      </w:r>
      <w:r w:rsidR="00050FBE">
        <w:rPr>
          <w:szCs w:val="22"/>
        </w:rPr>
        <w:t>)</w:t>
      </w:r>
      <w:r w:rsidRPr="00C16FF6">
        <w:rPr>
          <w:szCs w:val="22"/>
        </w:rPr>
        <w:t xml:space="preserve"> &amp; 0850001-016-AC</w:t>
      </w:r>
      <w:r w:rsidR="00050FBE">
        <w:rPr>
          <w:szCs w:val="22"/>
        </w:rPr>
        <w:t>/</w:t>
      </w:r>
      <w:r w:rsidRPr="00C16FF6">
        <w:rPr>
          <w:szCs w:val="22"/>
        </w:rPr>
        <w:t xml:space="preserve">PSD-FL-327B </w:t>
      </w:r>
      <w:r w:rsidR="00050FBE">
        <w:rPr>
          <w:szCs w:val="22"/>
        </w:rPr>
        <w:t xml:space="preserve">&amp; </w:t>
      </w:r>
      <w:r w:rsidRPr="00C16FF6">
        <w:rPr>
          <w:szCs w:val="22"/>
        </w:rPr>
        <w:t>146C]</w:t>
      </w:r>
    </w:p>
    <w:p w14:paraId="7B273CBE" w14:textId="1D0CD0E4" w:rsidR="003B37A7" w:rsidRPr="00A576E4" w:rsidRDefault="003B37A7" w:rsidP="00C638F9">
      <w:pPr>
        <w:numPr>
          <w:ilvl w:val="0"/>
          <w:numId w:val="5"/>
        </w:numPr>
        <w:spacing w:after="120"/>
        <w:ind w:left="270" w:hanging="270"/>
        <w:rPr>
          <w:szCs w:val="22"/>
        </w:rPr>
      </w:pPr>
      <w:bookmarkStart w:id="90" w:name="_Ref504382572"/>
      <w:r w:rsidRPr="00C16FF6">
        <w:rPr>
          <w:szCs w:val="22"/>
          <w:u w:val="single"/>
        </w:rPr>
        <w:t>Operation During Testing</w:t>
      </w:r>
      <w:r w:rsidRPr="00C16FF6">
        <w:rPr>
          <w:szCs w:val="22"/>
        </w:rPr>
        <w:t>.  Testing of emissions shall be conducted with the emissions unit operating at</w:t>
      </w:r>
      <w:r w:rsidR="002038DD">
        <w:rPr>
          <w:szCs w:val="22"/>
        </w:rPr>
        <w:t xml:space="preserve"> </w:t>
      </w:r>
      <w:r w:rsidRPr="00A576E4">
        <w:rPr>
          <w:szCs w:val="22"/>
        </w:rPr>
        <w:t>permitted capacity.  Permitted capacity is defined as 90 to 100 percent</w:t>
      </w:r>
      <w:r w:rsidR="00473774" w:rsidRPr="00A576E4">
        <w:rPr>
          <w:szCs w:val="22"/>
        </w:rPr>
        <w:t xml:space="preserve"> (%)</w:t>
      </w:r>
      <w:r w:rsidRPr="00A576E4">
        <w:rPr>
          <w:szCs w:val="22"/>
        </w:rPr>
        <w:t xml:space="preserve"> of the maximum operation rate allowed by the permit.  Permitted capacity and operating data may be adjusted for the appropriate site conditions in accordance with the performance curves and/or equations on file with the Department.</w:t>
      </w:r>
      <w:bookmarkEnd w:id="90"/>
      <w:r w:rsidRPr="00A576E4">
        <w:rPr>
          <w:szCs w:val="22"/>
        </w:rPr>
        <w:t xml:space="preserve"> </w:t>
      </w:r>
    </w:p>
    <w:p w14:paraId="2B5251AA" w14:textId="6A3CD67C" w:rsidR="003B37A7" w:rsidRPr="00A576E4" w:rsidRDefault="003B37A7" w:rsidP="003B37A7">
      <w:pPr>
        <w:spacing w:after="120"/>
        <w:ind w:left="270"/>
        <w:rPr>
          <w:szCs w:val="22"/>
          <w:u w:val="double"/>
        </w:rPr>
      </w:pPr>
      <w:r w:rsidRPr="00A576E4">
        <w:rPr>
          <w:szCs w:val="22"/>
        </w:rPr>
        <w:t>If it is impractical</w:t>
      </w:r>
      <w:r w:rsidR="002038DD" w:rsidRPr="00A576E4">
        <w:rPr>
          <w:szCs w:val="22"/>
        </w:rPr>
        <w:t xml:space="preserve"> </w:t>
      </w:r>
      <w:r w:rsidRPr="00A576E4">
        <w:rPr>
          <w:szCs w:val="22"/>
        </w:rPr>
        <w:t>to test at permitted capacity, an emissions unit may be tested at less than the maximum permitted</w:t>
      </w:r>
      <w:r w:rsidR="002038DD" w:rsidRPr="00A576E4">
        <w:rPr>
          <w:szCs w:val="22"/>
        </w:rPr>
        <w:t xml:space="preserve"> </w:t>
      </w:r>
      <w:r w:rsidRPr="00A576E4">
        <w:rPr>
          <w:szCs w:val="22"/>
        </w:rPr>
        <w:t xml:space="preserve">capacity; in this case, subsequent emissions unit operation is limited to 110 percent of the test rate until a new test is conducted.  Once the unit is so limited, operation at higher capacities is allowed for no more than 15 consecutive days for the purpose of additional compliance testing to regain the authority to operate at the permitted capacity. </w:t>
      </w:r>
      <w:r w:rsidR="008F3711" w:rsidRPr="00A576E4">
        <w:rPr>
          <w:szCs w:val="22"/>
        </w:rPr>
        <w:t xml:space="preserve"> </w:t>
      </w:r>
    </w:p>
    <w:p w14:paraId="1013BE5A" w14:textId="77777777" w:rsidR="003B37A7" w:rsidRPr="00C16FF6" w:rsidRDefault="003B37A7" w:rsidP="003B37A7">
      <w:pPr>
        <w:ind w:left="274"/>
        <w:rPr>
          <w:szCs w:val="22"/>
        </w:rPr>
      </w:pPr>
      <w:r w:rsidRPr="00C16FF6">
        <w:rPr>
          <w:szCs w:val="22"/>
        </w:rPr>
        <w:t>If tested at less than capacity, the entire heat input versus inlet temperature curves will be adjusted by the increment equal to the difference between the design heat input value and 110 percent of the value reached during the test.  Data, curves, and calculations necessary to demonstrate the heat input rate correction at both design and test conditions shall be submitted to the Department with the compliance test report.  (See the related testing provisions in Appendix TR, Facility-wide Testing Requirements.).</w:t>
      </w:r>
    </w:p>
    <w:p w14:paraId="607A4322" w14:textId="18902CD4" w:rsidR="003B37A7" w:rsidRPr="00C16FF6" w:rsidRDefault="003B37A7" w:rsidP="003B37A7">
      <w:pPr>
        <w:spacing w:after="120"/>
        <w:ind w:left="270"/>
        <w:rPr>
          <w:szCs w:val="22"/>
        </w:rPr>
      </w:pPr>
      <w:r w:rsidRPr="00C16FF6">
        <w:rPr>
          <w:szCs w:val="22"/>
        </w:rPr>
        <w:t>[Rules 62-297.310(</w:t>
      </w:r>
      <w:r w:rsidR="00050FBE">
        <w:rPr>
          <w:szCs w:val="22"/>
        </w:rPr>
        <w:t>3</w:t>
      </w:r>
      <w:r w:rsidRPr="00C16FF6">
        <w:rPr>
          <w:szCs w:val="22"/>
        </w:rPr>
        <w:t>) &amp; 62-210.200(PTE), F.A.C.; and, Permit Nos. PSD-FL-146, PSD-FL-146A (0850001-002-AC &amp; 0850001-003-AC issued 9/6/96) &amp; 0850001-016-AC</w:t>
      </w:r>
      <w:r w:rsidR="00050FBE">
        <w:rPr>
          <w:szCs w:val="22"/>
        </w:rPr>
        <w:t>/</w:t>
      </w:r>
      <w:r w:rsidRPr="00C16FF6">
        <w:rPr>
          <w:szCs w:val="22"/>
        </w:rPr>
        <w:t xml:space="preserve">PSD-FL-327B </w:t>
      </w:r>
      <w:r w:rsidR="00050FBE">
        <w:rPr>
          <w:szCs w:val="22"/>
        </w:rPr>
        <w:t>&amp;</w:t>
      </w:r>
      <w:r w:rsidRPr="00C16FF6">
        <w:rPr>
          <w:szCs w:val="22"/>
        </w:rPr>
        <w:t xml:space="preserve"> 146C]</w:t>
      </w:r>
    </w:p>
    <w:p w14:paraId="4D6E5148" w14:textId="77777777" w:rsidR="003B37A7" w:rsidRPr="00C16FF6" w:rsidRDefault="003B37A7" w:rsidP="00C638F9">
      <w:pPr>
        <w:numPr>
          <w:ilvl w:val="0"/>
          <w:numId w:val="5"/>
        </w:numPr>
        <w:ind w:left="270" w:hanging="270"/>
        <w:rPr>
          <w:szCs w:val="22"/>
          <w:u w:val="single"/>
        </w:rPr>
      </w:pPr>
      <w:bookmarkStart w:id="91" w:name="_Hlk520203703"/>
      <w:r w:rsidRPr="00C16FF6">
        <w:rPr>
          <w:szCs w:val="22"/>
          <w:u w:val="single"/>
        </w:rPr>
        <w:t>Methods of Operation</w:t>
      </w:r>
      <w:r w:rsidRPr="00C16FF6">
        <w:rPr>
          <w:szCs w:val="22"/>
        </w:rPr>
        <w:t>.</w:t>
      </w:r>
      <w:r w:rsidRPr="00C16FF6">
        <w:rPr>
          <w:szCs w:val="22"/>
          <w:u w:val="single"/>
        </w:rPr>
        <w:t xml:space="preserve">  </w:t>
      </w:r>
    </w:p>
    <w:p w14:paraId="1C312082" w14:textId="77777777" w:rsidR="003B37A7" w:rsidRPr="00C16FF6" w:rsidRDefault="003B37A7" w:rsidP="005B0CC1">
      <w:pPr>
        <w:numPr>
          <w:ilvl w:val="1"/>
          <w:numId w:val="3"/>
        </w:numPr>
        <w:tabs>
          <w:tab w:val="clear" w:pos="1440"/>
        </w:tabs>
        <w:ind w:left="720"/>
        <w:rPr>
          <w:szCs w:val="22"/>
        </w:rPr>
      </w:pPr>
      <w:r w:rsidRPr="00C16FF6">
        <w:rPr>
          <w:i/>
          <w:szCs w:val="22"/>
        </w:rPr>
        <w:t>Fuels</w:t>
      </w:r>
      <w:r w:rsidRPr="00C16FF6">
        <w:rPr>
          <w:szCs w:val="22"/>
        </w:rPr>
        <w:t>.  Only natural gas or No. 2 fuel oil shall be fired in the CT units.</w:t>
      </w:r>
    </w:p>
    <w:p w14:paraId="23B8DD8A" w14:textId="1DC37F33" w:rsidR="003B37A7" w:rsidRPr="007B4C6C" w:rsidRDefault="003B37A7" w:rsidP="005B0CC1">
      <w:pPr>
        <w:numPr>
          <w:ilvl w:val="1"/>
          <w:numId w:val="3"/>
        </w:numPr>
        <w:tabs>
          <w:tab w:val="clear" w:pos="1440"/>
        </w:tabs>
        <w:ind w:left="720"/>
        <w:rPr>
          <w:szCs w:val="22"/>
        </w:rPr>
      </w:pPr>
      <w:r w:rsidRPr="00C16FF6">
        <w:rPr>
          <w:i/>
          <w:szCs w:val="22"/>
        </w:rPr>
        <w:t>Inlet Foggers</w:t>
      </w:r>
      <w:r w:rsidRPr="007B4C6C">
        <w:rPr>
          <w:szCs w:val="22"/>
        </w:rPr>
        <w:t xml:space="preserve">.  Operation of the foggers on each unit </w:t>
      </w:r>
      <w:r w:rsidR="001C7753" w:rsidRPr="007B4C6C">
        <w:rPr>
          <w:szCs w:val="22"/>
        </w:rPr>
        <w:t xml:space="preserve">shall </w:t>
      </w:r>
      <w:r w:rsidRPr="007B4C6C">
        <w:rPr>
          <w:szCs w:val="22"/>
        </w:rPr>
        <w:t>not exceed</w:t>
      </w:r>
      <w:r w:rsidR="001C7753" w:rsidRPr="007B4C6C">
        <w:rPr>
          <w:szCs w:val="22"/>
        </w:rPr>
        <w:t xml:space="preserve"> a combined total of 3,663 hours per calendar year</w:t>
      </w:r>
      <w:r w:rsidR="00233D43" w:rsidRPr="007B4C6C">
        <w:rPr>
          <w:szCs w:val="22"/>
        </w:rPr>
        <w:t>.</w:t>
      </w:r>
      <w:r w:rsidRPr="007B4C6C">
        <w:rPr>
          <w:szCs w:val="22"/>
        </w:rPr>
        <w:t xml:space="preserve"> </w:t>
      </w:r>
    </w:p>
    <w:p w14:paraId="0617C776" w14:textId="2EC491CF" w:rsidR="003B37A7" w:rsidRPr="007B4C6C" w:rsidRDefault="003B37A7" w:rsidP="005B0CC1">
      <w:pPr>
        <w:numPr>
          <w:ilvl w:val="1"/>
          <w:numId w:val="3"/>
        </w:numPr>
        <w:tabs>
          <w:tab w:val="clear" w:pos="1440"/>
        </w:tabs>
        <w:ind w:left="720"/>
        <w:rPr>
          <w:szCs w:val="22"/>
        </w:rPr>
      </w:pPr>
      <w:r w:rsidRPr="007B4C6C">
        <w:rPr>
          <w:i/>
          <w:szCs w:val="22"/>
        </w:rPr>
        <w:t>Power Augmentation.</w:t>
      </w:r>
      <w:r w:rsidRPr="007B4C6C">
        <w:rPr>
          <w:szCs w:val="22"/>
        </w:rPr>
        <w:t xml:space="preserve">  The CTs may also be operated in power augmentation mode, which involves the introduction of steam into the combustion chamber turbine to generate additional direct, shaft-driven electrical power to respond to peak demands</w:t>
      </w:r>
      <w:r w:rsidR="00274A04" w:rsidRPr="007B4C6C">
        <w:rPr>
          <w:szCs w:val="22"/>
        </w:rPr>
        <w:t>.</w:t>
      </w:r>
    </w:p>
    <w:p w14:paraId="0E6BF6AE" w14:textId="6FF38B7C" w:rsidR="001C7753" w:rsidRPr="007B4C6C" w:rsidRDefault="003B37A7" w:rsidP="00FA7BD0">
      <w:pPr>
        <w:spacing w:after="120"/>
        <w:ind w:left="360"/>
        <w:rPr>
          <w:szCs w:val="22"/>
        </w:rPr>
      </w:pPr>
      <w:r w:rsidRPr="007B4C6C">
        <w:rPr>
          <w:szCs w:val="22"/>
        </w:rPr>
        <w:t>[Permit Nos. PSD-FL-146, Specific Condition No. 3, 0850001-016-AC</w:t>
      </w:r>
      <w:r w:rsidR="00485B5B" w:rsidRPr="007B4C6C">
        <w:rPr>
          <w:szCs w:val="22"/>
        </w:rPr>
        <w:t>/</w:t>
      </w:r>
      <w:r w:rsidRPr="007B4C6C">
        <w:rPr>
          <w:szCs w:val="22"/>
        </w:rPr>
        <w:t xml:space="preserve">PSD-FL-327B </w:t>
      </w:r>
      <w:r w:rsidR="00050FBE" w:rsidRPr="007B4C6C">
        <w:rPr>
          <w:szCs w:val="22"/>
        </w:rPr>
        <w:t xml:space="preserve">&amp; </w:t>
      </w:r>
      <w:r w:rsidRPr="007B4C6C">
        <w:rPr>
          <w:szCs w:val="22"/>
        </w:rPr>
        <w:t>146C</w:t>
      </w:r>
      <w:r w:rsidR="003723E3" w:rsidRPr="007B4C6C">
        <w:rPr>
          <w:szCs w:val="22"/>
        </w:rPr>
        <w:t xml:space="preserve"> &amp; 0850001-041-AC/PSD-FL-146J &amp; 327G</w:t>
      </w:r>
      <w:r w:rsidRPr="007B4C6C">
        <w:rPr>
          <w:szCs w:val="22"/>
        </w:rPr>
        <w:t>]</w:t>
      </w:r>
    </w:p>
    <w:bookmarkEnd w:id="91"/>
    <w:p w14:paraId="45A7ED43" w14:textId="0F67BC11" w:rsidR="003B37A7" w:rsidRPr="00C16FF6" w:rsidRDefault="003B37A7" w:rsidP="00C638F9">
      <w:pPr>
        <w:numPr>
          <w:ilvl w:val="0"/>
          <w:numId w:val="5"/>
        </w:numPr>
        <w:spacing w:after="120"/>
        <w:rPr>
          <w:szCs w:val="22"/>
        </w:rPr>
      </w:pPr>
      <w:r w:rsidRPr="00C16FF6">
        <w:rPr>
          <w:szCs w:val="22"/>
          <w:u w:val="single"/>
        </w:rPr>
        <w:t>Hours of Operation</w:t>
      </w:r>
      <w:r w:rsidRPr="00C16FF6">
        <w:rPr>
          <w:szCs w:val="22"/>
        </w:rPr>
        <w:t xml:space="preserve">.  </w:t>
      </w:r>
      <w:r w:rsidR="0070539D">
        <w:rPr>
          <w:szCs w:val="22"/>
        </w:rPr>
        <w:t>Each of the</w:t>
      </w:r>
      <w:r w:rsidR="00F901FD">
        <w:rPr>
          <w:szCs w:val="22"/>
        </w:rPr>
        <w:t>se CTs may operate continuously (8,760 hr/yr).  [Rule 62-210.200(PTE), F.A.C.; and, Permit No. PSD-FL-146, Specific Condition 2.]</w:t>
      </w:r>
    </w:p>
    <w:p w14:paraId="2113BF02" w14:textId="5CDA44A7" w:rsidR="008276A5" w:rsidRDefault="008276A5" w:rsidP="008276A5">
      <w:pPr>
        <w:spacing w:after="120"/>
        <w:jc w:val="both"/>
      </w:pPr>
      <w:r>
        <w:rPr>
          <w:b/>
          <w:u w:val="single"/>
        </w:rPr>
        <w:t>Control Technology</w:t>
      </w:r>
    </w:p>
    <w:p w14:paraId="4A5DBF30" w14:textId="5D39DC38" w:rsidR="008276A5" w:rsidRPr="008276A5" w:rsidRDefault="008276A5" w:rsidP="00C638F9">
      <w:pPr>
        <w:numPr>
          <w:ilvl w:val="0"/>
          <w:numId w:val="5"/>
        </w:numPr>
        <w:spacing w:after="120"/>
      </w:pPr>
      <w:r w:rsidRPr="00C16FF6">
        <w:rPr>
          <w:szCs w:val="22"/>
          <w:u w:val="single"/>
        </w:rPr>
        <w:t>NO</w:t>
      </w:r>
      <w:r w:rsidRPr="00C16FF6">
        <w:rPr>
          <w:szCs w:val="22"/>
          <w:u w:val="single"/>
          <w:vertAlign w:val="subscript"/>
        </w:rPr>
        <w:t>X</w:t>
      </w:r>
      <w:r w:rsidRPr="00C16FF6">
        <w:rPr>
          <w:szCs w:val="22"/>
        </w:rPr>
        <w:t>.  NO</w:t>
      </w:r>
      <w:r w:rsidRPr="00C16FF6">
        <w:rPr>
          <w:szCs w:val="22"/>
          <w:vertAlign w:val="subscript"/>
        </w:rPr>
        <w:t>X</w:t>
      </w:r>
      <w:r w:rsidRPr="00C16FF6">
        <w:rPr>
          <w:szCs w:val="22"/>
        </w:rPr>
        <w:t xml:space="preserve"> emissions from each CT/HRSG unit shall be controlled by using DLN combustors for natural gas with steam injection for fuel oil firing.  The permittee has installed duct modules suitable for future installation of SCR equipment on each combined cycle generating unit.  [</w:t>
      </w:r>
      <w:r>
        <w:rPr>
          <w:szCs w:val="22"/>
        </w:rPr>
        <w:t xml:space="preserve">Permit No. </w:t>
      </w:r>
      <w:r w:rsidRPr="00C16FF6">
        <w:rPr>
          <w:szCs w:val="22"/>
        </w:rPr>
        <w:t>PSD-FL-146, Specific Condition 9.]</w:t>
      </w:r>
    </w:p>
    <w:p w14:paraId="6C0416CC" w14:textId="60BBC13E" w:rsidR="00D63ADF" w:rsidRPr="00805944" w:rsidRDefault="00D63ADF" w:rsidP="00D63ADF">
      <w:pPr>
        <w:tabs>
          <w:tab w:val="left" w:pos="0"/>
        </w:tabs>
        <w:suppressAutoHyphens/>
        <w:spacing w:after="120"/>
        <w:rPr>
          <w:b/>
          <w:szCs w:val="22"/>
          <w:u w:val="single"/>
        </w:rPr>
      </w:pPr>
      <w:r w:rsidRPr="00805944">
        <w:rPr>
          <w:b/>
          <w:szCs w:val="22"/>
          <w:u w:val="single"/>
        </w:rPr>
        <w:t>Emission Limitations and Standards</w:t>
      </w:r>
    </w:p>
    <w:p w14:paraId="1DF15FF0" w14:textId="6FA11A5D" w:rsidR="006105C9" w:rsidRDefault="006105C9" w:rsidP="00D63ADF">
      <w:pPr>
        <w:tabs>
          <w:tab w:val="left" w:pos="0"/>
        </w:tabs>
        <w:suppressAutoHyphens/>
        <w:spacing w:after="120"/>
      </w:pPr>
      <w:r w:rsidRPr="00805944">
        <w:t>Unless otherwise specified, the averaging time</w:t>
      </w:r>
      <w:r w:rsidR="00805944" w:rsidRPr="00805944">
        <w:t>s</w:t>
      </w:r>
      <w:r w:rsidRPr="00805944">
        <w:t xml:space="preserve"> for Specific Condition</w:t>
      </w:r>
      <w:r w:rsidR="00805944" w:rsidRPr="00805944">
        <w:t>s</w:t>
      </w:r>
      <w:r w:rsidRPr="00805944">
        <w:t xml:space="preserve"> </w:t>
      </w:r>
      <w:r w:rsidR="007506C1" w:rsidRPr="007506C1">
        <w:rPr>
          <w:b/>
        </w:rPr>
        <w:fldChar w:fldCharType="begin"/>
      </w:r>
      <w:r w:rsidR="007506C1" w:rsidRPr="007506C1">
        <w:rPr>
          <w:b/>
        </w:rPr>
        <w:instrText xml:space="preserve"> REF _Ref503356939 \r \h </w:instrText>
      </w:r>
      <w:r w:rsidR="007506C1">
        <w:rPr>
          <w:b/>
        </w:rPr>
        <w:instrText xml:space="preserve"> \* MERGEFORMAT </w:instrText>
      </w:r>
      <w:r w:rsidR="007506C1" w:rsidRPr="007506C1">
        <w:rPr>
          <w:b/>
        </w:rPr>
      </w:r>
      <w:r w:rsidR="007506C1" w:rsidRPr="007506C1">
        <w:rPr>
          <w:b/>
        </w:rPr>
        <w:fldChar w:fldCharType="separate"/>
      </w:r>
      <w:r w:rsidR="00D31800">
        <w:rPr>
          <w:b/>
        </w:rPr>
        <w:t>B.6</w:t>
      </w:r>
      <w:r w:rsidR="007506C1" w:rsidRPr="007506C1">
        <w:rPr>
          <w:b/>
        </w:rPr>
        <w:fldChar w:fldCharType="end"/>
      </w:r>
      <w:r w:rsidR="007506C1">
        <w:t xml:space="preserve"> </w:t>
      </w:r>
      <w:r w:rsidR="00805944" w:rsidRPr="00805944">
        <w:t>are</w:t>
      </w:r>
      <w:r w:rsidRPr="00805944">
        <w:t xml:space="preserve"> based on the specified averaging time of the applicable test method.</w:t>
      </w:r>
    </w:p>
    <w:p w14:paraId="2CF048DB" w14:textId="4980E936" w:rsidR="00F45486" w:rsidRPr="00E92B2E" w:rsidRDefault="00F45486" w:rsidP="00F45486">
      <w:pPr>
        <w:numPr>
          <w:ilvl w:val="0"/>
          <w:numId w:val="5"/>
        </w:numPr>
        <w:tabs>
          <w:tab w:val="left" w:pos="630"/>
        </w:tabs>
        <w:spacing w:after="120"/>
        <w:rPr>
          <w:szCs w:val="22"/>
        </w:rPr>
      </w:pPr>
      <w:bookmarkStart w:id="92" w:name="_Ref503356939"/>
      <w:bookmarkStart w:id="93" w:name="_Hlk505245355"/>
      <w:bookmarkStart w:id="94" w:name="_Hlk523234356"/>
      <w:bookmarkStart w:id="95" w:name="_Hlk520205968"/>
      <w:r w:rsidRPr="00E92B2E">
        <w:rPr>
          <w:szCs w:val="22"/>
        </w:rPr>
        <w:t>The maximum allowable emissions from each CT, in accordance with the BACT determination, shall not exceed the following, at 40 degrees F, except during periods of startup and shutdown:</w:t>
      </w:r>
      <w:bookmarkEnd w:id="92"/>
    </w:p>
    <w:tbl>
      <w:tblPr>
        <w:tblW w:w="9547" w:type="dxa"/>
        <w:tblInd w:w="345" w:type="dxa"/>
        <w:tblLayout w:type="fixed"/>
        <w:tblLook w:val="0000" w:firstRow="0" w:lastRow="0" w:firstColumn="0" w:lastColumn="0" w:noHBand="0" w:noVBand="0"/>
      </w:tblPr>
      <w:tblGrid>
        <w:gridCol w:w="1170"/>
        <w:gridCol w:w="750"/>
        <w:gridCol w:w="2205"/>
        <w:gridCol w:w="1260"/>
        <w:gridCol w:w="2355"/>
        <w:gridCol w:w="1800"/>
        <w:gridCol w:w="7"/>
      </w:tblGrid>
      <w:tr w:rsidR="00F45486" w:rsidRPr="00E92B2E" w14:paraId="26A1D265" w14:textId="77777777" w:rsidTr="00E92B2E">
        <w:trPr>
          <w:gridAfter w:val="1"/>
          <w:wAfter w:w="7" w:type="dxa"/>
          <w:trHeight w:val="303"/>
        </w:trPr>
        <w:tc>
          <w:tcPr>
            <w:tcW w:w="1170" w:type="dxa"/>
            <w:vMerge w:val="restart"/>
            <w:tcBorders>
              <w:top w:val="single" w:sz="12" w:space="0" w:color="auto"/>
              <w:left w:val="single" w:sz="12" w:space="0" w:color="auto"/>
              <w:right w:val="single" w:sz="12" w:space="0" w:color="auto"/>
            </w:tcBorders>
            <w:shd w:val="clear" w:color="auto" w:fill="auto"/>
            <w:vAlign w:val="center"/>
          </w:tcPr>
          <w:p w14:paraId="1927D0ED" w14:textId="77777777" w:rsidR="00F45486" w:rsidRPr="00E92B2E" w:rsidRDefault="00F45486" w:rsidP="00AC2BF9">
            <w:pPr>
              <w:jc w:val="center"/>
              <w:rPr>
                <w:b/>
                <w:szCs w:val="22"/>
              </w:rPr>
            </w:pPr>
            <w:bookmarkStart w:id="96" w:name="_Hlk505245408"/>
            <w:bookmarkEnd w:id="93"/>
            <w:r w:rsidRPr="00E92B2E">
              <w:rPr>
                <w:b/>
                <w:szCs w:val="22"/>
              </w:rPr>
              <w:t>Pollutant</w:t>
            </w:r>
          </w:p>
        </w:tc>
        <w:tc>
          <w:tcPr>
            <w:tcW w:w="750" w:type="dxa"/>
            <w:vMerge w:val="restart"/>
            <w:tcBorders>
              <w:top w:val="single" w:sz="12" w:space="0" w:color="auto"/>
              <w:left w:val="single" w:sz="12" w:space="0" w:color="auto"/>
              <w:right w:val="single" w:sz="12" w:space="0" w:color="auto"/>
            </w:tcBorders>
            <w:shd w:val="clear" w:color="auto" w:fill="auto"/>
            <w:vAlign w:val="center"/>
          </w:tcPr>
          <w:p w14:paraId="2786E5FF" w14:textId="77777777" w:rsidR="00F45486" w:rsidRPr="00E92B2E" w:rsidRDefault="00F45486" w:rsidP="00AC2BF9">
            <w:pPr>
              <w:jc w:val="center"/>
              <w:rPr>
                <w:b/>
                <w:szCs w:val="22"/>
              </w:rPr>
            </w:pPr>
            <w:r w:rsidRPr="00E92B2E">
              <w:rPr>
                <w:b/>
                <w:szCs w:val="22"/>
              </w:rPr>
              <w:t>Fuel</w:t>
            </w:r>
          </w:p>
        </w:tc>
        <w:tc>
          <w:tcPr>
            <w:tcW w:w="2205" w:type="dxa"/>
            <w:tcBorders>
              <w:top w:val="single" w:sz="12" w:space="0" w:color="auto"/>
              <w:left w:val="single" w:sz="12" w:space="0" w:color="auto"/>
              <w:bottom w:val="single" w:sz="6" w:space="0" w:color="auto"/>
              <w:right w:val="single" w:sz="12" w:space="0" w:color="auto"/>
            </w:tcBorders>
            <w:shd w:val="clear" w:color="auto" w:fill="auto"/>
            <w:vAlign w:val="center"/>
          </w:tcPr>
          <w:p w14:paraId="7D322F91" w14:textId="77777777" w:rsidR="00F45486" w:rsidRPr="00E92B2E" w:rsidRDefault="00F45486" w:rsidP="00AC2BF9">
            <w:pPr>
              <w:jc w:val="center"/>
              <w:rPr>
                <w:b/>
                <w:szCs w:val="22"/>
              </w:rPr>
            </w:pPr>
            <w:r w:rsidRPr="00E92B2E">
              <w:rPr>
                <w:b/>
                <w:szCs w:val="22"/>
              </w:rPr>
              <w:t>Basis</w:t>
            </w:r>
          </w:p>
        </w:tc>
        <w:tc>
          <w:tcPr>
            <w:tcW w:w="3615" w:type="dxa"/>
            <w:gridSpan w:val="2"/>
            <w:tcBorders>
              <w:top w:val="single" w:sz="12" w:space="0" w:color="auto"/>
              <w:left w:val="single" w:sz="12" w:space="0" w:color="auto"/>
              <w:bottom w:val="single" w:sz="6" w:space="0" w:color="auto"/>
              <w:right w:val="single" w:sz="12" w:space="0" w:color="auto"/>
            </w:tcBorders>
            <w:shd w:val="clear" w:color="auto" w:fill="auto"/>
            <w:vAlign w:val="center"/>
          </w:tcPr>
          <w:p w14:paraId="0957B5E8" w14:textId="77777777" w:rsidR="00F45486" w:rsidRPr="00E92B2E" w:rsidRDefault="00F45486" w:rsidP="00AC2BF9">
            <w:pPr>
              <w:jc w:val="center"/>
              <w:rPr>
                <w:b/>
                <w:szCs w:val="22"/>
              </w:rPr>
            </w:pPr>
            <w:r w:rsidRPr="00E92B2E">
              <w:rPr>
                <w:b/>
                <w:szCs w:val="22"/>
              </w:rPr>
              <w:t>Emission Limitations</w:t>
            </w:r>
          </w:p>
        </w:tc>
        <w:tc>
          <w:tcPr>
            <w:tcW w:w="1800" w:type="dxa"/>
            <w:vMerge w:val="restart"/>
            <w:tcBorders>
              <w:top w:val="single" w:sz="12" w:space="0" w:color="auto"/>
              <w:left w:val="single" w:sz="12" w:space="0" w:color="auto"/>
              <w:right w:val="single" w:sz="12" w:space="0" w:color="auto"/>
            </w:tcBorders>
            <w:shd w:val="clear" w:color="auto" w:fill="auto"/>
          </w:tcPr>
          <w:p w14:paraId="04EA2BE0" w14:textId="77777777" w:rsidR="00F45486" w:rsidRPr="00E92B2E" w:rsidRDefault="00F45486" w:rsidP="00AC2BF9">
            <w:pPr>
              <w:jc w:val="center"/>
              <w:rPr>
                <w:b/>
                <w:szCs w:val="22"/>
              </w:rPr>
            </w:pPr>
            <w:r w:rsidRPr="00E92B2E">
              <w:rPr>
                <w:b/>
                <w:szCs w:val="22"/>
              </w:rPr>
              <w:t>Compliance Method</w:t>
            </w:r>
          </w:p>
        </w:tc>
      </w:tr>
      <w:tr w:rsidR="00F45486" w:rsidRPr="00E92B2E" w14:paraId="0043C136" w14:textId="77777777" w:rsidTr="00E92B2E">
        <w:trPr>
          <w:gridAfter w:val="1"/>
          <w:wAfter w:w="7" w:type="dxa"/>
          <w:trHeight w:val="300"/>
        </w:trPr>
        <w:tc>
          <w:tcPr>
            <w:tcW w:w="1170" w:type="dxa"/>
            <w:vMerge/>
            <w:tcBorders>
              <w:left w:val="single" w:sz="12" w:space="0" w:color="auto"/>
              <w:bottom w:val="single" w:sz="12" w:space="0" w:color="auto"/>
              <w:right w:val="single" w:sz="12" w:space="0" w:color="auto"/>
            </w:tcBorders>
            <w:shd w:val="clear" w:color="auto" w:fill="auto"/>
            <w:vAlign w:val="center"/>
          </w:tcPr>
          <w:p w14:paraId="29113200" w14:textId="77777777" w:rsidR="00F45486" w:rsidRPr="00E92B2E" w:rsidRDefault="00F45486" w:rsidP="00AC2BF9">
            <w:pPr>
              <w:jc w:val="center"/>
              <w:rPr>
                <w:b/>
                <w:szCs w:val="22"/>
              </w:rPr>
            </w:pPr>
          </w:p>
        </w:tc>
        <w:tc>
          <w:tcPr>
            <w:tcW w:w="750" w:type="dxa"/>
            <w:vMerge/>
            <w:tcBorders>
              <w:left w:val="single" w:sz="12" w:space="0" w:color="auto"/>
              <w:bottom w:val="single" w:sz="12" w:space="0" w:color="auto"/>
              <w:right w:val="single" w:sz="12" w:space="0" w:color="auto"/>
            </w:tcBorders>
            <w:shd w:val="clear" w:color="auto" w:fill="auto"/>
            <w:vAlign w:val="center"/>
          </w:tcPr>
          <w:p w14:paraId="13B80484" w14:textId="77777777" w:rsidR="00F45486" w:rsidRPr="00E92B2E" w:rsidRDefault="00F45486" w:rsidP="00AC2BF9">
            <w:pPr>
              <w:jc w:val="center"/>
              <w:rPr>
                <w:b/>
                <w:szCs w:val="22"/>
              </w:rPr>
            </w:pPr>
          </w:p>
        </w:tc>
        <w:tc>
          <w:tcPr>
            <w:tcW w:w="2205" w:type="dxa"/>
            <w:tcBorders>
              <w:left w:val="single" w:sz="12" w:space="0" w:color="auto"/>
              <w:bottom w:val="single" w:sz="12" w:space="0" w:color="auto"/>
              <w:right w:val="single" w:sz="12" w:space="0" w:color="auto"/>
            </w:tcBorders>
            <w:shd w:val="clear" w:color="auto" w:fill="auto"/>
            <w:vAlign w:val="center"/>
          </w:tcPr>
          <w:p w14:paraId="1591FF9E" w14:textId="77777777" w:rsidR="00F45486" w:rsidRPr="00E92B2E" w:rsidRDefault="00F45486" w:rsidP="00AC2BF9">
            <w:pPr>
              <w:jc w:val="center"/>
              <w:rPr>
                <w:b/>
                <w:szCs w:val="22"/>
              </w:rPr>
            </w:pPr>
            <w:r w:rsidRPr="00E92B2E">
              <w:rPr>
                <w:b/>
                <w:szCs w:val="22"/>
              </w:rPr>
              <w:t>Concentration</w:t>
            </w:r>
          </w:p>
        </w:tc>
        <w:tc>
          <w:tcPr>
            <w:tcW w:w="1260" w:type="dxa"/>
            <w:tcBorders>
              <w:top w:val="single" w:sz="6" w:space="0" w:color="auto"/>
              <w:left w:val="single" w:sz="12" w:space="0" w:color="auto"/>
              <w:bottom w:val="single" w:sz="12" w:space="0" w:color="auto"/>
              <w:right w:val="single" w:sz="12" w:space="0" w:color="auto"/>
            </w:tcBorders>
            <w:shd w:val="clear" w:color="auto" w:fill="auto"/>
            <w:vAlign w:val="center"/>
          </w:tcPr>
          <w:p w14:paraId="1D0804B3" w14:textId="77777777" w:rsidR="00F45486" w:rsidRPr="00E92B2E" w:rsidRDefault="00F45486" w:rsidP="00AC2BF9">
            <w:pPr>
              <w:jc w:val="center"/>
              <w:rPr>
                <w:b/>
                <w:szCs w:val="22"/>
              </w:rPr>
            </w:pPr>
            <w:r w:rsidRPr="00E92B2E">
              <w:rPr>
                <w:b/>
                <w:szCs w:val="22"/>
              </w:rPr>
              <w:t>lb/hr/CT</w:t>
            </w:r>
          </w:p>
        </w:tc>
        <w:tc>
          <w:tcPr>
            <w:tcW w:w="2355" w:type="dxa"/>
            <w:tcBorders>
              <w:top w:val="single" w:sz="6" w:space="0" w:color="auto"/>
              <w:left w:val="single" w:sz="12" w:space="0" w:color="auto"/>
              <w:bottom w:val="single" w:sz="12" w:space="0" w:color="auto"/>
              <w:right w:val="single" w:sz="12" w:space="0" w:color="auto"/>
            </w:tcBorders>
            <w:shd w:val="clear" w:color="auto" w:fill="auto"/>
            <w:vAlign w:val="center"/>
          </w:tcPr>
          <w:p w14:paraId="57A918A0" w14:textId="77777777" w:rsidR="00F45486" w:rsidRPr="00E92B2E" w:rsidRDefault="00F45486" w:rsidP="00AC2BF9">
            <w:pPr>
              <w:jc w:val="center"/>
              <w:rPr>
                <w:b/>
                <w:szCs w:val="22"/>
              </w:rPr>
            </w:pPr>
            <w:r w:rsidRPr="00E92B2E">
              <w:rPr>
                <w:b/>
                <w:szCs w:val="22"/>
              </w:rPr>
              <w:t>TPY/</w:t>
            </w:r>
            <w:proofErr w:type="spellStart"/>
            <w:r w:rsidRPr="00E92B2E">
              <w:rPr>
                <w:b/>
                <w:szCs w:val="22"/>
              </w:rPr>
              <w:t>CT</w:t>
            </w:r>
            <w:r w:rsidRPr="00E92B2E">
              <w:rPr>
                <w:b/>
                <w:szCs w:val="22"/>
                <w:vertAlign w:val="superscript"/>
              </w:rPr>
              <w:t>a</w:t>
            </w:r>
            <w:proofErr w:type="spellEnd"/>
            <w:r w:rsidRPr="00E92B2E">
              <w:rPr>
                <w:b/>
                <w:szCs w:val="22"/>
                <w:vertAlign w:val="superscript"/>
              </w:rPr>
              <w:t>.</w:t>
            </w:r>
          </w:p>
        </w:tc>
        <w:tc>
          <w:tcPr>
            <w:tcW w:w="1800" w:type="dxa"/>
            <w:vMerge/>
            <w:tcBorders>
              <w:left w:val="single" w:sz="12" w:space="0" w:color="auto"/>
              <w:bottom w:val="single" w:sz="12" w:space="0" w:color="auto"/>
              <w:right w:val="single" w:sz="12" w:space="0" w:color="auto"/>
            </w:tcBorders>
            <w:shd w:val="clear" w:color="auto" w:fill="auto"/>
          </w:tcPr>
          <w:p w14:paraId="0D22848D" w14:textId="77777777" w:rsidR="00F45486" w:rsidRPr="00E92B2E" w:rsidRDefault="00F45486" w:rsidP="00AC2BF9">
            <w:pPr>
              <w:jc w:val="center"/>
              <w:rPr>
                <w:b/>
                <w:szCs w:val="22"/>
              </w:rPr>
            </w:pPr>
          </w:p>
        </w:tc>
      </w:tr>
      <w:tr w:rsidR="00F45486" w:rsidRPr="00E92B2E" w14:paraId="7570DBA0" w14:textId="77777777" w:rsidTr="00E92B2E">
        <w:trPr>
          <w:gridAfter w:val="1"/>
          <w:wAfter w:w="7" w:type="dxa"/>
        </w:trPr>
        <w:tc>
          <w:tcPr>
            <w:tcW w:w="1170" w:type="dxa"/>
            <w:vMerge w:val="restart"/>
            <w:tcBorders>
              <w:top w:val="single" w:sz="12" w:space="0" w:color="auto"/>
              <w:left w:val="single" w:sz="12" w:space="0" w:color="auto"/>
              <w:right w:val="single" w:sz="12" w:space="0" w:color="auto"/>
            </w:tcBorders>
            <w:shd w:val="clear" w:color="auto" w:fill="auto"/>
            <w:vAlign w:val="center"/>
          </w:tcPr>
          <w:p w14:paraId="4257D9A2" w14:textId="77777777" w:rsidR="00F45486" w:rsidRPr="00E92B2E" w:rsidRDefault="00F45486" w:rsidP="00AC2BF9">
            <w:pPr>
              <w:jc w:val="center"/>
              <w:rPr>
                <w:szCs w:val="22"/>
                <w:vertAlign w:val="superscript"/>
              </w:rPr>
            </w:pPr>
            <w:r w:rsidRPr="00E92B2E">
              <w:rPr>
                <w:szCs w:val="22"/>
              </w:rPr>
              <w:t>NO</w:t>
            </w:r>
            <w:r w:rsidRPr="00E92B2E">
              <w:rPr>
                <w:szCs w:val="22"/>
                <w:vertAlign w:val="subscript"/>
              </w:rPr>
              <w:t>X</w:t>
            </w:r>
          </w:p>
        </w:tc>
        <w:tc>
          <w:tcPr>
            <w:tcW w:w="750" w:type="dxa"/>
            <w:tcBorders>
              <w:top w:val="single" w:sz="12" w:space="0" w:color="auto"/>
              <w:left w:val="single" w:sz="12" w:space="0" w:color="auto"/>
              <w:bottom w:val="single" w:sz="8" w:space="0" w:color="auto"/>
              <w:right w:val="single" w:sz="12" w:space="0" w:color="auto"/>
            </w:tcBorders>
            <w:shd w:val="clear" w:color="auto" w:fill="auto"/>
            <w:vAlign w:val="center"/>
          </w:tcPr>
          <w:p w14:paraId="3F44EB5A" w14:textId="77777777" w:rsidR="00F45486" w:rsidRPr="00E92B2E" w:rsidRDefault="00F45486" w:rsidP="00AC2BF9">
            <w:pPr>
              <w:jc w:val="center"/>
              <w:rPr>
                <w:szCs w:val="22"/>
              </w:rPr>
            </w:pPr>
            <w:r w:rsidRPr="00E92B2E">
              <w:rPr>
                <w:szCs w:val="22"/>
              </w:rPr>
              <w:t>Gas</w:t>
            </w:r>
          </w:p>
        </w:tc>
        <w:tc>
          <w:tcPr>
            <w:tcW w:w="2205" w:type="dxa"/>
            <w:tcBorders>
              <w:top w:val="single" w:sz="12" w:space="0" w:color="auto"/>
              <w:left w:val="single" w:sz="12" w:space="0" w:color="auto"/>
              <w:bottom w:val="single" w:sz="8" w:space="0" w:color="auto"/>
              <w:right w:val="single" w:sz="12" w:space="0" w:color="auto"/>
            </w:tcBorders>
            <w:shd w:val="clear" w:color="auto" w:fill="auto"/>
            <w:vAlign w:val="center"/>
          </w:tcPr>
          <w:p w14:paraId="5205B934" w14:textId="77777777" w:rsidR="00F45486" w:rsidRPr="00E92B2E" w:rsidRDefault="00F45486" w:rsidP="00AC2BF9">
            <w:pPr>
              <w:jc w:val="center"/>
              <w:rPr>
                <w:szCs w:val="22"/>
              </w:rPr>
            </w:pPr>
            <w:r w:rsidRPr="00E92B2E">
              <w:rPr>
                <w:szCs w:val="22"/>
              </w:rPr>
              <w:t>25 ppmvd @ 15% O</w:t>
            </w:r>
            <w:r w:rsidRPr="00E92B2E">
              <w:rPr>
                <w:position w:val="-10"/>
                <w:szCs w:val="22"/>
              </w:rPr>
              <w:object w:dxaOrig="173" w:dyaOrig="320" w14:anchorId="1156A7FC">
                <v:shape id="_x0000_i1035" type="#_x0000_t75" style="width:6.5pt;height:13pt" o:ole="">
                  <v:imagedata r:id="rId49" o:title=""/>
                </v:shape>
                <o:OLEObject Type="Embed" ProgID="Equation.2" ShapeID="_x0000_i1035" DrawAspect="Content" ObjectID="_1602926817" r:id="rId50"/>
              </w:object>
            </w:r>
          </w:p>
        </w:tc>
        <w:tc>
          <w:tcPr>
            <w:tcW w:w="1260" w:type="dxa"/>
            <w:tcBorders>
              <w:top w:val="single" w:sz="12" w:space="0" w:color="auto"/>
              <w:left w:val="single" w:sz="12" w:space="0" w:color="auto"/>
              <w:bottom w:val="single" w:sz="8" w:space="0" w:color="auto"/>
              <w:right w:val="single" w:sz="12" w:space="0" w:color="auto"/>
            </w:tcBorders>
            <w:shd w:val="clear" w:color="auto" w:fill="auto"/>
            <w:vAlign w:val="center"/>
          </w:tcPr>
          <w:p w14:paraId="409EF41B" w14:textId="77777777" w:rsidR="00F45486" w:rsidRPr="00E92B2E" w:rsidRDefault="00F45486" w:rsidP="00AC2BF9">
            <w:pPr>
              <w:jc w:val="center"/>
              <w:rPr>
                <w:szCs w:val="22"/>
              </w:rPr>
            </w:pPr>
            <w:r w:rsidRPr="00E92B2E">
              <w:rPr>
                <w:szCs w:val="22"/>
              </w:rPr>
              <w:t>177</w:t>
            </w:r>
          </w:p>
        </w:tc>
        <w:tc>
          <w:tcPr>
            <w:tcW w:w="2355" w:type="dxa"/>
            <w:vMerge w:val="restart"/>
            <w:tcBorders>
              <w:top w:val="single" w:sz="12" w:space="0" w:color="auto"/>
              <w:left w:val="single" w:sz="12" w:space="0" w:color="auto"/>
              <w:bottom w:val="single" w:sz="12" w:space="0" w:color="auto"/>
              <w:right w:val="single" w:sz="12" w:space="0" w:color="auto"/>
            </w:tcBorders>
            <w:shd w:val="clear" w:color="auto" w:fill="auto"/>
            <w:vAlign w:val="center"/>
          </w:tcPr>
          <w:p w14:paraId="2D077F16" w14:textId="77777777" w:rsidR="00F45486" w:rsidRPr="00E92B2E" w:rsidRDefault="00F45486" w:rsidP="00AC2BF9">
            <w:pPr>
              <w:jc w:val="center"/>
              <w:rPr>
                <w:szCs w:val="22"/>
              </w:rPr>
            </w:pPr>
            <w:r w:rsidRPr="00E92B2E">
              <w:rPr>
                <w:szCs w:val="22"/>
              </w:rPr>
              <w:t>3,108</w:t>
            </w:r>
          </w:p>
        </w:tc>
        <w:tc>
          <w:tcPr>
            <w:tcW w:w="1800" w:type="dxa"/>
            <w:vMerge w:val="restart"/>
            <w:tcBorders>
              <w:top w:val="single" w:sz="12" w:space="0" w:color="auto"/>
              <w:left w:val="single" w:sz="12" w:space="0" w:color="auto"/>
              <w:right w:val="single" w:sz="12" w:space="0" w:color="auto"/>
            </w:tcBorders>
            <w:shd w:val="clear" w:color="auto" w:fill="auto"/>
            <w:vAlign w:val="center"/>
          </w:tcPr>
          <w:p w14:paraId="13A32937" w14:textId="77777777" w:rsidR="00F45486" w:rsidRPr="00E92B2E" w:rsidRDefault="00F45486" w:rsidP="00AC2BF9">
            <w:pPr>
              <w:jc w:val="center"/>
              <w:rPr>
                <w:szCs w:val="22"/>
              </w:rPr>
            </w:pPr>
            <w:r w:rsidRPr="00E92B2E">
              <w:rPr>
                <w:szCs w:val="22"/>
              </w:rPr>
              <w:t>CEMS</w:t>
            </w:r>
          </w:p>
        </w:tc>
      </w:tr>
      <w:tr w:rsidR="00F45486" w:rsidRPr="00E92B2E" w14:paraId="37C6287F" w14:textId="77777777" w:rsidTr="00E92B2E">
        <w:trPr>
          <w:gridAfter w:val="1"/>
          <w:wAfter w:w="7" w:type="dxa"/>
        </w:trPr>
        <w:tc>
          <w:tcPr>
            <w:tcW w:w="1170" w:type="dxa"/>
            <w:vMerge/>
            <w:tcBorders>
              <w:left w:val="single" w:sz="12" w:space="0" w:color="auto"/>
              <w:right w:val="single" w:sz="12" w:space="0" w:color="auto"/>
            </w:tcBorders>
            <w:vAlign w:val="center"/>
          </w:tcPr>
          <w:p w14:paraId="05A66F42" w14:textId="77777777" w:rsidR="00F45486" w:rsidRPr="00E92B2E" w:rsidRDefault="00F45486" w:rsidP="00AC2BF9">
            <w:pPr>
              <w:jc w:val="center"/>
              <w:rPr>
                <w:szCs w:val="22"/>
              </w:rPr>
            </w:pPr>
          </w:p>
        </w:tc>
        <w:tc>
          <w:tcPr>
            <w:tcW w:w="750" w:type="dxa"/>
            <w:tcBorders>
              <w:top w:val="single" w:sz="8" w:space="0" w:color="auto"/>
              <w:left w:val="single" w:sz="12" w:space="0" w:color="auto"/>
              <w:bottom w:val="single" w:sz="12" w:space="0" w:color="auto"/>
              <w:right w:val="single" w:sz="12" w:space="0" w:color="auto"/>
            </w:tcBorders>
            <w:vAlign w:val="center"/>
          </w:tcPr>
          <w:p w14:paraId="5D06DA44" w14:textId="77777777" w:rsidR="00F45486" w:rsidRPr="00E92B2E" w:rsidRDefault="00F45486" w:rsidP="00AC2BF9">
            <w:pPr>
              <w:jc w:val="center"/>
              <w:rPr>
                <w:szCs w:val="22"/>
              </w:rPr>
            </w:pPr>
            <w:r w:rsidRPr="00E92B2E">
              <w:rPr>
                <w:szCs w:val="22"/>
              </w:rPr>
              <w:t>Oil</w:t>
            </w:r>
          </w:p>
        </w:tc>
        <w:tc>
          <w:tcPr>
            <w:tcW w:w="2205" w:type="dxa"/>
            <w:tcBorders>
              <w:top w:val="single" w:sz="8" w:space="0" w:color="auto"/>
              <w:left w:val="single" w:sz="12" w:space="0" w:color="auto"/>
              <w:bottom w:val="single" w:sz="12" w:space="0" w:color="auto"/>
              <w:right w:val="single" w:sz="12" w:space="0" w:color="auto"/>
            </w:tcBorders>
            <w:vAlign w:val="center"/>
          </w:tcPr>
          <w:p w14:paraId="6AF051BF" w14:textId="77777777" w:rsidR="00F45486" w:rsidRPr="00E92B2E" w:rsidRDefault="00F45486" w:rsidP="00AC2BF9">
            <w:pPr>
              <w:jc w:val="center"/>
              <w:rPr>
                <w:szCs w:val="22"/>
              </w:rPr>
            </w:pPr>
            <w:r w:rsidRPr="00E92B2E">
              <w:rPr>
                <w:szCs w:val="22"/>
              </w:rPr>
              <w:t>65 ppmvd @ 15% O</w:t>
            </w:r>
            <w:r w:rsidRPr="00E92B2E">
              <w:rPr>
                <w:position w:val="-10"/>
                <w:szCs w:val="22"/>
              </w:rPr>
              <w:object w:dxaOrig="173" w:dyaOrig="320" w14:anchorId="447739C6">
                <v:shape id="_x0000_i1036" type="#_x0000_t75" style="width:6.5pt;height:13pt" o:ole="">
                  <v:imagedata r:id="rId51" o:title=""/>
                </v:shape>
                <o:OLEObject Type="Embed" ProgID="Equation.2" ShapeID="_x0000_i1036" DrawAspect="Content" ObjectID="_1602926818" r:id="rId52"/>
              </w:object>
            </w:r>
          </w:p>
        </w:tc>
        <w:tc>
          <w:tcPr>
            <w:tcW w:w="1260" w:type="dxa"/>
            <w:tcBorders>
              <w:top w:val="single" w:sz="8" w:space="0" w:color="auto"/>
              <w:left w:val="single" w:sz="12" w:space="0" w:color="auto"/>
              <w:bottom w:val="single" w:sz="12" w:space="0" w:color="auto"/>
              <w:right w:val="single" w:sz="12" w:space="0" w:color="auto"/>
            </w:tcBorders>
            <w:vAlign w:val="center"/>
          </w:tcPr>
          <w:p w14:paraId="207CED92" w14:textId="77777777" w:rsidR="00F45486" w:rsidRPr="00E92B2E" w:rsidRDefault="00F45486" w:rsidP="00AC2BF9">
            <w:pPr>
              <w:jc w:val="center"/>
              <w:rPr>
                <w:szCs w:val="22"/>
              </w:rPr>
            </w:pPr>
            <w:r w:rsidRPr="00E92B2E">
              <w:rPr>
                <w:szCs w:val="22"/>
              </w:rPr>
              <w:t>461</w:t>
            </w:r>
          </w:p>
        </w:tc>
        <w:tc>
          <w:tcPr>
            <w:tcW w:w="2355" w:type="dxa"/>
            <w:vMerge/>
            <w:tcBorders>
              <w:top w:val="single" w:sz="12" w:space="0" w:color="auto"/>
              <w:left w:val="single" w:sz="12" w:space="0" w:color="auto"/>
              <w:bottom w:val="single" w:sz="12" w:space="0" w:color="auto"/>
              <w:right w:val="single" w:sz="12" w:space="0" w:color="auto"/>
            </w:tcBorders>
            <w:vAlign w:val="center"/>
          </w:tcPr>
          <w:p w14:paraId="73B2C424" w14:textId="77777777" w:rsidR="00F45486" w:rsidRPr="00E92B2E" w:rsidRDefault="00F45486" w:rsidP="00AC2BF9">
            <w:pPr>
              <w:jc w:val="center"/>
              <w:rPr>
                <w:szCs w:val="22"/>
              </w:rPr>
            </w:pPr>
          </w:p>
        </w:tc>
        <w:tc>
          <w:tcPr>
            <w:tcW w:w="1800" w:type="dxa"/>
            <w:vMerge/>
            <w:tcBorders>
              <w:left w:val="single" w:sz="12" w:space="0" w:color="auto"/>
              <w:bottom w:val="single" w:sz="12" w:space="0" w:color="auto"/>
              <w:right w:val="single" w:sz="12" w:space="0" w:color="auto"/>
            </w:tcBorders>
          </w:tcPr>
          <w:p w14:paraId="2C1B8B92" w14:textId="77777777" w:rsidR="00F45486" w:rsidRPr="00E92B2E" w:rsidRDefault="00F45486" w:rsidP="00AC2BF9">
            <w:pPr>
              <w:jc w:val="center"/>
              <w:rPr>
                <w:szCs w:val="22"/>
              </w:rPr>
            </w:pPr>
          </w:p>
        </w:tc>
      </w:tr>
      <w:tr w:rsidR="00F45486" w:rsidRPr="00E92B2E" w14:paraId="0C5AA5C8" w14:textId="77777777" w:rsidTr="00E92B2E">
        <w:trPr>
          <w:gridAfter w:val="1"/>
          <w:wAfter w:w="7" w:type="dxa"/>
        </w:trPr>
        <w:tc>
          <w:tcPr>
            <w:tcW w:w="1170" w:type="dxa"/>
            <w:vMerge w:val="restart"/>
            <w:tcBorders>
              <w:top w:val="single" w:sz="12" w:space="0" w:color="auto"/>
              <w:left w:val="single" w:sz="12" w:space="0" w:color="auto"/>
              <w:bottom w:val="single" w:sz="12" w:space="0" w:color="auto"/>
              <w:right w:val="single" w:sz="12" w:space="0" w:color="auto"/>
            </w:tcBorders>
            <w:vAlign w:val="center"/>
          </w:tcPr>
          <w:p w14:paraId="480C5C6A" w14:textId="77777777" w:rsidR="00F45486" w:rsidRPr="00E92B2E" w:rsidRDefault="00F45486" w:rsidP="00AC2BF9">
            <w:pPr>
              <w:jc w:val="center"/>
              <w:rPr>
                <w:szCs w:val="22"/>
              </w:rPr>
            </w:pPr>
            <w:proofErr w:type="spellStart"/>
            <w:r w:rsidRPr="00E92B2E">
              <w:rPr>
                <w:szCs w:val="22"/>
              </w:rPr>
              <w:t>VOC</w:t>
            </w:r>
            <w:r w:rsidRPr="00E92B2E">
              <w:rPr>
                <w:b/>
                <w:szCs w:val="22"/>
                <w:vertAlign w:val="superscript"/>
              </w:rPr>
              <w:t>b</w:t>
            </w:r>
            <w:proofErr w:type="spellEnd"/>
            <w:r w:rsidRPr="00E92B2E">
              <w:rPr>
                <w:b/>
                <w:szCs w:val="22"/>
                <w:vertAlign w:val="superscript"/>
              </w:rPr>
              <w:t>.</w:t>
            </w:r>
          </w:p>
        </w:tc>
        <w:tc>
          <w:tcPr>
            <w:tcW w:w="750" w:type="dxa"/>
            <w:tcBorders>
              <w:top w:val="single" w:sz="12" w:space="0" w:color="auto"/>
              <w:left w:val="single" w:sz="12" w:space="0" w:color="auto"/>
              <w:bottom w:val="single" w:sz="8" w:space="0" w:color="auto"/>
              <w:right w:val="single" w:sz="12" w:space="0" w:color="auto"/>
            </w:tcBorders>
            <w:vAlign w:val="center"/>
          </w:tcPr>
          <w:p w14:paraId="1D4224E7" w14:textId="77777777" w:rsidR="00F45486" w:rsidRPr="00E92B2E" w:rsidRDefault="00F45486" w:rsidP="00AC2BF9">
            <w:pPr>
              <w:jc w:val="center"/>
              <w:rPr>
                <w:szCs w:val="22"/>
              </w:rPr>
            </w:pPr>
            <w:r w:rsidRPr="00E92B2E">
              <w:rPr>
                <w:szCs w:val="22"/>
              </w:rPr>
              <w:t>Gas</w:t>
            </w:r>
          </w:p>
        </w:tc>
        <w:tc>
          <w:tcPr>
            <w:tcW w:w="2205" w:type="dxa"/>
            <w:tcBorders>
              <w:top w:val="single" w:sz="12" w:space="0" w:color="auto"/>
              <w:left w:val="single" w:sz="12" w:space="0" w:color="auto"/>
              <w:bottom w:val="single" w:sz="8" w:space="0" w:color="auto"/>
              <w:right w:val="single" w:sz="12" w:space="0" w:color="auto"/>
            </w:tcBorders>
            <w:vAlign w:val="center"/>
          </w:tcPr>
          <w:p w14:paraId="0D8E75F5" w14:textId="77777777" w:rsidR="00F45486" w:rsidRPr="00E92B2E" w:rsidRDefault="00F45486" w:rsidP="00AC2BF9">
            <w:pPr>
              <w:jc w:val="center"/>
              <w:rPr>
                <w:szCs w:val="22"/>
              </w:rPr>
            </w:pPr>
            <w:r w:rsidRPr="00E92B2E">
              <w:rPr>
                <w:szCs w:val="22"/>
              </w:rPr>
              <w:t>1.6 ppmvd</w:t>
            </w:r>
          </w:p>
        </w:tc>
        <w:tc>
          <w:tcPr>
            <w:tcW w:w="1260" w:type="dxa"/>
            <w:tcBorders>
              <w:top w:val="single" w:sz="12" w:space="0" w:color="auto"/>
              <w:left w:val="single" w:sz="12" w:space="0" w:color="auto"/>
              <w:bottom w:val="single" w:sz="8" w:space="0" w:color="auto"/>
              <w:right w:val="single" w:sz="12" w:space="0" w:color="auto"/>
            </w:tcBorders>
            <w:vAlign w:val="center"/>
          </w:tcPr>
          <w:p w14:paraId="2D4FE8C9" w14:textId="77777777" w:rsidR="00F45486" w:rsidRPr="00E92B2E" w:rsidRDefault="00F45486" w:rsidP="00AC2BF9">
            <w:pPr>
              <w:jc w:val="center"/>
              <w:rPr>
                <w:szCs w:val="22"/>
              </w:rPr>
            </w:pPr>
            <w:r w:rsidRPr="00E92B2E">
              <w:rPr>
                <w:szCs w:val="22"/>
              </w:rPr>
              <w:t>3</w:t>
            </w:r>
          </w:p>
        </w:tc>
        <w:tc>
          <w:tcPr>
            <w:tcW w:w="2355" w:type="dxa"/>
            <w:vMerge w:val="restart"/>
            <w:tcBorders>
              <w:top w:val="single" w:sz="12" w:space="0" w:color="auto"/>
              <w:left w:val="single" w:sz="12" w:space="0" w:color="auto"/>
              <w:bottom w:val="single" w:sz="12" w:space="0" w:color="auto"/>
              <w:right w:val="single" w:sz="12" w:space="0" w:color="auto"/>
            </w:tcBorders>
            <w:vAlign w:val="center"/>
          </w:tcPr>
          <w:p w14:paraId="6DA22402" w14:textId="77777777" w:rsidR="00F45486" w:rsidRPr="00E92B2E" w:rsidRDefault="00F45486" w:rsidP="00AC2BF9">
            <w:pPr>
              <w:jc w:val="center"/>
              <w:rPr>
                <w:szCs w:val="22"/>
              </w:rPr>
            </w:pPr>
            <w:r w:rsidRPr="00E92B2E">
              <w:rPr>
                <w:szCs w:val="22"/>
              </w:rPr>
              <w:t>57</w:t>
            </w:r>
          </w:p>
        </w:tc>
        <w:tc>
          <w:tcPr>
            <w:tcW w:w="1800" w:type="dxa"/>
            <w:vMerge w:val="restart"/>
            <w:tcBorders>
              <w:top w:val="single" w:sz="12" w:space="0" w:color="auto"/>
              <w:left w:val="single" w:sz="12" w:space="0" w:color="auto"/>
              <w:right w:val="single" w:sz="12" w:space="0" w:color="auto"/>
            </w:tcBorders>
          </w:tcPr>
          <w:p w14:paraId="004C5B63" w14:textId="77777777" w:rsidR="00F45486" w:rsidRPr="00E92B2E" w:rsidRDefault="00F45486" w:rsidP="00AC2BF9">
            <w:pPr>
              <w:jc w:val="center"/>
              <w:rPr>
                <w:szCs w:val="22"/>
              </w:rPr>
            </w:pPr>
            <w:r w:rsidRPr="00E92B2E">
              <w:rPr>
                <w:szCs w:val="22"/>
              </w:rPr>
              <w:t>CO Compliance &amp; Stack Test</w:t>
            </w:r>
          </w:p>
        </w:tc>
      </w:tr>
      <w:tr w:rsidR="00F45486" w:rsidRPr="00E92B2E" w14:paraId="063C8CF7" w14:textId="77777777" w:rsidTr="00E92B2E">
        <w:trPr>
          <w:gridAfter w:val="1"/>
          <w:wAfter w:w="7" w:type="dxa"/>
        </w:trPr>
        <w:tc>
          <w:tcPr>
            <w:tcW w:w="1170" w:type="dxa"/>
            <w:vMerge/>
            <w:tcBorders>
              <w:top w:val="single" w:sz="12" w:space="0" w:color="auto"/>
              <w:left w:val="single" w:sz="12" w:space="0" w:color="auto"/>
              <w:bottom w:val="single" w:sz="12" w:space="0" w:color="auto"/>
              <w:right w:val="single" w:sz="12" w:space="0" w:color="auto"/>
            </w:tcBorders>
            <w:vAlign w:val="center"/>
          </w:tcPr>
          <w:p w14:paraId="0C96A1B5" w14:textId="77777777" w:rsidR="00F45486" w:rsidRPr="00E92B2E" w:rsidRDefault="00F45486" w:rsidP="00AC2BF9">
            <w:pPr>
              <w:jc w:val="center"/>
              <w:rPr>
                <w:szCs w:val="22"/>
              </w:rPr>
            </w:pPr>
          </w:p>
        </w:tc>
        <w:tc>
          <w:tcPr>
            <w:tcW w:w="750" w:type="dxa"/>
            <w:tcBorders>
              <w:top w:val="single" w:sz="8" w:space="0" w:color="auto"/>
              <w:left w:val="single" w:sz="12" w:space="0" w:color="auto"/>
              <w:bottom w:val="single" w:sz="12" w:space="0" w:color="auto"/>
              <w:right w:val="single" w:sz="12" w:space="0" w:color="auto"/>
            </w:tcBorders>
            <w:vAlign w:val="center"/>
          </w:tcPr>
          <w:p w14:paraId="09C65984" w14:textId="77777777" w:rsidR="00F45486" w:rsidRPr="00E92B2E" w:rsidRDefault="00F45486" w:rsidP="00AC2BF9">
            <w:pPr>
              <w:jc w:val="center"/>
              <w:rPr>
                <w:szCs w:val="22"/>
              </w:rPr>
            </w:pPr>
            <w:r w:rsidRPr="00E92B2E">
              <w:rPr>
                <w:szCs w:val="22"/>
              </w:rPr>
              <w:t>Oil</w:t>
            </w:r>
          </w:p>
        </w:tc>
        <w:tc>
          <w:tcPr>
            <w:tcW w:w="2205" w:type="dxa"/>
            <w:tcBorders>
              <w:top w:val="single" w:sz="8" w:space="0" w:color="auto"/>
              <w:left w:val="single" w:sz="12" w:space="0" w:color="auto"/>
              <w:bottom w:val="single" w:sz="12" w:space="0" w:color="auto"/>
              <w:right w:val="single" w:sz="12" w:space="0" w:color="auto"/>
            </w:tcBorders>
            <w:vAlign w:val="center"/>
          </w:tcPr>
          <w:p w14:paraId="1964CD16" w14:textId="77777777" w:rsidR="00F45486" w:rsidRPr="00E92B2E" w:rsidRDefault="00F45486" w:rsidP="00AC2BF9">
            <w:pPr>
              <w:jc w:val="center"/>
              <w:rPr>
                <w:szCs w:val="22"/>
              </w:rPr>
            </w:pPr>
            <w:r w:rsidRPr="00E92B2E">
              <w:rPr>
                <w:szCs w:val="22"/>
              </w:rPr>
              <w:t>6 ppmvd</w:t>
            </w:r>
          </w:p>
        </w:tc>
        <w:tc>
          <w:tcPr>
            <w:tcW w:w="1260" w:type="dxa"/>
            <w:tcBorders>
              <w:top w:val="single" w:sz="8" w:space="0" w:color="auto"/>
              <w:left w:val="single" w:sz="12" w:space="0" w:color="auto"/>
              <w:bottom w:val="single" w:sz="12" w:space="0" w:color="auto"/>
              <w:right w:val="single" w:sz="12" w:space="0" w:color="auto"/>
            </w:tcBorders>
            <w:vAlign w:val="center"/>
          </w:tcPr>
          <w:p w14:paraId="4B1C9767" w14:textId="77777777" w:rsidR="00F45486" w:rsidRPr="00E92B2E" w:rsidRDefault="00F45486" w:rsidP="00AC2BF9">
            <w:pPr>
              <w:jc w:val="center"/>
              <w:rPr>
                <w:szCs w:val="22"/>
              </w:rPr>
            </w:pPr>
            <w:r w:rsidRPr="00E92B2E">
              <w:rPr>
                <w:szCs w:val="22"/>
              </w:rPr>
              <w:t>11.0</w:t>
            </w:r>
          </w:p>
        </w:tc>
        <w:tc>
          <w:tcPr>
            <w:tcW w:w="2355" w:type="dxa"/>
            <w:vMerge/>
            <w:tcBorders>
              <w:top w:val="single" w:sz="12" w:space="0" w:color="auto"/>
              <w:left w:val="single" w:sz="12" w:space="0" w:color="auto"/>
              <w:bottom w:val="single" w:sz="12" w:space="0" w:color="auto"/>
              <w:right w:val="single" w:sz="12" w:space="0" w:color="auto"/>
            </w:tcBorders>
            <w:vAlign w:val="center"/>
          </w:tcPr>
          <w:p w14:paraId="22E933E2" w14:textId="77777777" w:rsidR="00F45486" w:rsidRPr="00E92B2E" w:rsidRDefault="00F45486" w:rsidP="00AC2BF9">
            <w:pPr>
              <w:jc w:val="center"/>
              <w:rPr>
                <w:szCs w:val="22"/>
              </w:rPr>
            </w:pPr>
          </w:p>
        </w:tc>
        <w:tc>
          <w:tcPr>
            <w:tcW w:w="1800" w:type="dxa"/>
            <w:vMerge/>
            <w:tcBorders>
              <w:left w:val="single" w:sz="12" w:space="0" w:color="auto"/>
              <w:bottom w:val="single" w:sz="12" w:space="0" w:color="auto"/>
              <w:right w:val="single" w:sz="12" w:space="0" w:color="auto"/>
            </w:tcBorders>
          </w:tcPr>
          <w:p w14:paraId="67781EA5" w14:textId="77777777" w:rsidR="00F45486" w:rsidRPr="00E92B2E" w:rsidRDefault="00F45486" w:rsidP="00AC2BF9">
            <w:pPr>
              <w:jc w:val="center"/>
              <w:rPr>
                <w:szCs w:val="22"/>
              </w:rPr>
            </w:pPr>
          </w:p>
        </w:tc>
      </w:tr>
      <w:tr w:rsidR="00F45486" w:rsidRPr="00E92B2E" w14:paraId="0227CF22" w14:textId="77777777" w:rsidTr="00E92B2E">
        <w:trPr>
          <w:gridAfter w:val="1"/>
          <w:wAfter w:w="7" w:type="dxa"/>
        </w:trPr>
        <w:tc>
          <w:tcPr>
            <w:tcW w:w="1170" w:type="dxa"/>
            <w:vMerge w:val="restart"/>
            <w:tcBorders>
              <w:top w:val="single" w:sz="12" w:space="0" w:color="auto"/>
              <w:left w:val="single" w:sz="12" w:space="0" w:color="auto"/>
              <w:bottom w:val="single" w:sz="12" w:space="0" w:color="auto"/>
              <w:right w:val="single" w:sz="12" w:space="0" w:color="auto"/>
            </w:tcBorders>
            <w:vAlign w:val="center"/>
          </w:tcPr>
          <w:p w14:paraId="5BF89E38" w14:textId="77777777" w:rsidR="00F45486" w:rsidRPr="00E92B2E" w:rsidRDefault="00F45486" w:rsidP="00AC2BF9">
            <w:pPr>
              <w:jc w:val="center"/>
              <w:rPr>
                <w:szCs w:val="22"/>
              </w:rPr>
            </w:pPr>
            <w:r w:rsidRPr="00E92B2E">
              <w:rPr>
                <w:szCs w:val="22"/>
              </w:rPr>
              <w:t>CO</w:t>
            </w:r>
          </w:p>
        </w:tc>
        <w:tc>
          <w:tcPr>
            <w:tcW w:w="750" w:type="dxa"/>
            <w:tcBorders>
              <w:top w:val="single" w:sz="12" w:space="0" w:color="auto"/>
              <w:left w:val="single" w:sz="12" w:space="0" w:color="auto"/>
              <w:bottom w:val="single" w:sz="8" w:space="0" w:color="auto"/>
              <w:right w:val="single" w:sz="12" w:space="0" w:color="auto"/>
            </w:tcBorders>
            <w:vAlign w:val="center"/>
          </w:tcPr>
          <w:p w14:paraId="6BDAB6EA" w14:textId="77777777" w:rsidR="00F45486" w:rsidRPr="00E92B2E" w:rsidRDefault="00F45486" w:rsidP="00AC2BF9">
            <w:pPr>
              <w:jc w:val="center"/>
              <w:rPr>
                <w:szCs w:val="22"/>
              </w:rPr>
            </w:pPr>
            <w:r w:rsidRPr="00E92B2E">
              <w:rPr>
                <w:szCs w:val="22"/>
              </w:rPr>
              <w:t>Gas</w:t>
            </w:r>
          </w:p>
        </w:tc>
        <w:tc>
          <w:tcPr>
            <w:tcW w:w="2205" w:type="dxa"/>
            <w:tcBorders>
              <w:top w:val="single" w:sz="12" w:space="0" w:color="auto"/>
              <w:left w:val="single" w:sz="12" w:space="0" w:color="auto"/>
              <w:bottom w:val="single" w:sz="8" w:space="0" w:color="auto"/>
              <w:right w:val="single" w:sz="12" w:space="0" w:color="auto"/>
            </w:tcBorders>
            <w:vAlign w:val="center"/>
          </w:tcPr>
          <w:p w14:paraId="40A8106A" w14:textId="77777777" w:rsidR="00F45486" w:rsidRPr="00E92B2E" w:rsidRDefault="00F45486" w:rsidP="00AC2BF9">
            <w:pPr>
              <w:jc w:val="center"/>
              <w:rPr>
                <w:szCs w:val="22"/>
              </w:rPr>
            </w:pPr>
            <w:r w:rsidRPr="00E92B2E">
              <w:rPr>
                <w:szCs w:val="22"/>
              </w:rPr>
              <w:t>30 ppmvd</w:t>
            </w:r>
          </w:p>
        </w:tc>
        <w:tc>
          <w:tcPr>
            <w:tcW w:w="1260" w:type="dxa"/>
            <w:tcBorders>
              <w:top w:val="single" w:sz="12" w:space="0" w:color="auto"/>
              <w:left w:val="single" w:sz="12" w:space="0" w:color="auto"/>
              <w:bottom w:val="single" w:sz="8" w:space="0" w:color="auto"/>
              <w:right w:val="single" w:sz="12" w:space="0" w:color="auto"/>
            </w:tcBorders>
            <w:vAlign w:val="center"/>
          </w:tcPr>
          <w:p w14:paraId="0A8A9172" w14:textId="77777777" w:rsidR="00F45486" w:rsidRPr="00E92B2E" w:rsidRDefault="00F45486" w:rsidP="00AC2BF9">
            <w:pPr>
              <w:jc w:val="center"/>
              <w:rPr>
                <w:szCs w:val="22"/>
              </w:rPr>
            </w:pPr>
            <w:r w:rsidRPr="00E92B2E">
              <w:rPr>
                <w:szCs w:val="22"/>
              </w:rPr>
              <w:t>94.3</w:t>
            </w:r>
          </w:p>
        </w:tc>
        <w:tc>
          <w:tcPr>
            <w:tcW w:w="2355" w:type="dxa"/>
            <w:vMerge w:val="restart"/>
            <w:tcBorders>
              <w:top w:val="single" w:sz="12" w:space="0" w:color="auto"/>
              <w:left w:val="single" w:sz="12" w:space="0" w:color="auto"/>
              <w:bottom w:val="single" w:sz="12" w:space="0" w:color="auto"/>
              <w:right w:val="single" w:sz="12" w:space="0" w:color="auto"/>
            </w:tcBorders>
            <w:vAlign w:val="center"/>
          </w:tcPr>
          <w:p w14:paraId="00FA7B37" w14:textId="77777777" w:rsidR="00F45486" w:rsidRPr="00E92B2E" w:rsidRDefault="00F45486" w:rsidP="00AC2BF9">
            <w:pPr>
              <w:jc w:val="center"/>
              <w:rPr>
                <w:szCs w:val="22"/>
              </w:rPr>
            </w:pPr>
            <w:r w:rsidRPr="00E92B2E">
              <w:rPr>
                <w:szCs w:val="22"/>
              </w:rPr>
              <w:t>871</w:t>
            </w:r>
          </w:p>
        </w:tc>
        <w:tc>
          <w:tcPr>
            <w:tcW w:w="1800" w:type="dxa"/>
            <w:vMerge w:val="restart"/>
            <w:tcBorders>
              <w:top w:val="single" w:sz="12" w:space="0" w:color="auto"/>
              <w:left w:val="single" w:sz="12" w:space="0" w:color="auto"/>
              <w:right w:val="single" w:sz="12" w:space="0" w:color="auto"/>
            </w:tcBorders>
            <w:vAlign w:val="center"/>
          </w:tcPr>
          <w:p w14:paraId="24559452" w14:textId="77777777" w:rsidR="00F45486" w:rsidRPr="00E92B2E" w:rsidRDefault="00F45486" w:rsidP="00AC2BF9">
            <w:pPr>
              <w:jc w:val="center"/>
              <w:rPr>
                <w:szCs w:val="22"/>
              </w:rPr>
            </w:pPr>
            <w:r w:rsidRPr="00E92B2E">
              <w:rPr>
                <w:szCs w:val="22"/>
              </w:rPr>
              <w:t>Stack Test</w:t>
            </w:r>
          </w:p>
        </w:tc>
      </w:tr>
      <w:tr w:rsidR="00F45486" w:rsidRPr="00E92B2E" w14:paraId="4CAE0D11" w14:textId="77777777" w:rsidTr="00E92B2E">
        <w:trPr>
          <w:gridAfter w:val="1"/>
          <w:wAfter w:w="7" w:type="dxa"/>
        </w:trPr>
        <w:tc>
          <w:tcPr>
            <w:tcW w:w="1170" w:type="dxa"/>
            <w:vMerge/>
            <w:tcBorders>
              <w:top w:val="single" w:sz="12" w:space="0" w:color="auto"/>
              <w:left w:val="single" w:sz="12" w:space="0" w:color="auto"/>
              <w:bottom w:val="single" w:sz="12" w:space="0" w:color="auto"/>
              <w:right w:val="single" w:sz="12" w:space="0" w:color="auto"/>
            </w:tcBorders>
            <w:vAlign w:val="center"/>
          </w:tcPr>
          <w:p w14:paraId="4C41F2F3" w14:textId="77777777" w:rsidR="00F45486" w:rsidRPr="00E92B2E" w:rsidRDefault="00F45486" w:rsidP="00AC2BF9">
            <w:pPr>
              <w:jc w:val="center"/>
              <w:rPr>
                <w:szCs w:val="22"/>
              </w:rPr>
            </w:pPr>
          </w:p>
        </w:tc>
        <w:tc>
          <w:tcPr>
            <w:tcW w:w="750" w:type="dxa"/>
            <w:tcBorders>
              <w:top w:val="single" w:sz="8" w:space="0" w:color="auto"/>
              <w:left w:val="single" w:sz="12" w:space="0" w:color="auto"/>
              <w:bottom w:val="single" w:sz="12" w:space="0" w:color="auto"/>
              <w:right w:val="single" w:sz="12" w:space="0" w:color="auto"/>
            </w:tcBorders>
            <w:vAlign w:val="center"/>
          </w:tcPr>
          <w:p w14:paraId="19124131" w14:textId="77777777" w:rsidR="00F45486" w:rsidRPr="00E92B2E" w:rsidRDefault="00F45486" w:rsidP="00AC2BF9">
            <w:pPr>
              <w:jc w:val="center"/>
              <w:rPr>
                <w:szCs w:val="22"/>
              </w:rPr>
            </w:pPr>
            <w:r w:rsidRPr="00E92B2E">
              <w:rPr>
                <w:szCs w:val="22"/>
              </w:rPr>
              <w:t>Oil</w:t>
            </w:r>
          </w:p>
        </w:tc>
        <w:tc>
          <w:tcPr>
            <w:tcW w:w="2205" w:type="dxa"/>
            <w:tcBorders>
              <w:top w:val="single" w:sz="8" w:space="0" w:color="auto"/>
              <w:left w:val="single" w:sz="12" w:space="0" w:color="auto"/>
              <w:bottom w:val="single" w:sz="12" w:space="0" w:color="auto"/>
              <w:right w:val="single" w:sz="12" w:space="0" w:color="auto"/>
            </w:tcBorders>
            <w:vAlign w:val="center"/>
          </w:tcPr>
          <w:p w14:paraId="6C5BAC9F" w14:textId="77777777" w:rsidR="00F45486" w:rsidRPr="00E92B2E" w:rsidRDefault="00F45486" w:rsidP="00AC2BF9">
            <w:pPr>
              <w:jc w:val="center"/>
              <w:rPr>
                <w:szCs w:val="22"/>
              </w:rPr>
            </w:pPr>
            <w:r w:rsidRPr="00E92B2E">
              <w:rPr>
                <w:szCs w:val="22"/>
              </w:rPr>
              <w:t>33 ppmvd</w:t>
            </w:r>
          </w:p>
        </w:tc>
        <w:tc>
          <w:tcPr>
            <w:tcW w:w="1260" w:type="dxa"/>
            <w:tcBorders>
              <w:top w:val="single" w:sz="8" w:space="0" w:color="auto"/>
              <w:left w:val="single" w:sz="12" w:space="0" w:color="auto"/>
              <w:bottom w:val="single" w:sz="12" w:space="0" w:color="auto"/>
              <w:right w:val="single" w:sz="12" w:space="0" w:color="auto"/>
            </w:tcBorders>
            <w:vAlign w:val="center"/>
          </w:tcPr>
          <w:p w14:paraId="13FA35F8" w14:textId="77777777" w:rsidR="00F45486" w:rsidRPr="00E92B2E" w:rsidRDefault="00F45486" w:rsidP="00AC2BF9">
            <w:pPr>
              <w:jc w:val="center"/>
              <w:rPr>
                <w:szCs w:val="22"/>
              </w:rPr>
            </w:pPr>
            <w:r w:rsidRPr="00E92B2E">
              <w:rPr>
                <w:szCs w:val="22"/>
              </w:rPr>
              <w:t>105.8</w:t>
            </w:r>
          </w:p>
        </w:tc>
        <w:tc>
          <w:tcPr>
            <w:tcW w:w="2355" w:type="dxa"/>
            <w:vMerge/>
            <w:tcBorders>
              <w:top w:val="single" w:sz="12" w:space="0" w:color="auto"/>
              <w:left w:val="single" w:sz="12" w:space="0" w:color="auto"/>
              <w:bottom w:val="single" w:sz="12" w:space="0" w:color="auto"/>
              <w:right w:val="single" w:sz="12" w:space="0" w:color="auto"/>
            </w:tcBorders>
            <w:vAlign w:val="center"/>
          </w:tcPr>
          <w:p w14:paraId="00F51548" w14:textId="77777777" w:rsidR="00F45486" w:rsidRPr="00E92B2E" w:rsidRDefault="00F45486" w:rsidP="00AC2BF9">
            <w:pPr>
              <w:jc w:val="center"/>
              <w:rPr>
                <w:szCs w:val="22"/>
              </w:rPr>
            </w:pPr>
          </w:p>
        </w:tc>
        <w:tc>
          <w:tcPr>
            <w:tcW w:w="1800" w:type="dxa"/>
            <w:vMerge/>
            <w:tcBorders>
              <w:left w:val="single" w:sz="12" w:space="0" w:color="auto"/>
              <w:bottom w:val="single" w:sz="12" w:space="0" w:color="auto"/>
              <w:right w:val="single" w:sz="12" w:space="0" w:color="auto"/>
            </w:tcBorders>
          </w:tcPr>
          <w:p w14:paraId="553E28BF" w14:textId="77777777" w:rsidR="00F45486" w:rsidRPr="00E92B2E" w:rsidRDefault="00F45486" w:rsidP="00AC2BF9">
            <w:pPr>
              <w:jc w:val="center"/>
              <w:rPr>
                <w:szCs w:val="22"/>
              </w:rPr>
            </w:pPr>
          </w:p>
        </w:tc>
      </w:tr>
      <w:tr w:rsidR="00F45486" w:rsidRPr="00E92B2E" w14:paraId="7D379DE3" w14:textId="77777777" w:rsidTr="00E92B2E">
        <w:trPr>
          <w:gridAfter w:val="1"/>
          <w:wAfter w:w="7" w:type="dxa"/>
        </w:trPr>
        <w:tc>
          <w:tcPr>
            <w:tcW w:w="1170" w:type="dxa"/>
            <w:vMerge w:val="restart"/>
            <w:tcBorders>
              <w:top w:val="single" w:sz="12" w:space="0" w:color="auto"/>
              <w:left w:val="single" w:sz="12" w:space="0" w:color="auto"/>
              <w:bottom w:val="single" w:sz="12" w:space="0" w:color="auto"/>
              <w:right w:val="single" w:sz="12" w:space="0" w:color="auto"/>
            </w:tcBorders>
            <w:vAlign w:val="center"/>
          </w:tcPr>
          <w:p w14:paraId="4C3816C6" w14:textId="77777777" w:rsidR="00F45486" w:rsidRPr="00E92B2E" w:rsidRDefault="00F45486" w:rsidP="00AC2BF9">
            <w:pPr>
              <w:jc w:val="center"/>
              <w:rPr>
                <w:szCs w:val="22"/>
              </w:rPr>
            </w:pPr>
            <w:r w:rsidRPr="00E92B2E">
              <w:rPr>
                <w:szCs w:val="22"/>
              </w:rPr>
              <w:t>PM/PM</w:t>
            </w:r>
            <w:r w:rsidRPr="00E92B2E">
              <w:rPr>
                <w:szCs w:val="22"/>
                <w:vertAlign w:val="subscript"/>
              </w:rPr>
              <w:t>10</w:t>
            </w:r>
          </w:p>
        </w:tc>
        <w:tc>
          <w:tcPr>
            <w:tcW w:w="750" w:type="dxa"/>
            <w:tcBorders>
              <w:top w:val="single" w:sz="12" w:space="0" w:color="auto"/>
              <w:left w:val="single" w:sz="12" w:space="0" w:color="auto"/>
              <w:bottom w:val="single" w:sz="8" w:space="0" w:color="auto"/>
              <w:right w:val="single" w:sz="12" w:space="0" w:color="auto"/>
            </w:tcBorders>
            <w:vAlign w:val="center"/>
          </w:tcPr>
          <w:p w14:paraId="1ECE7C5A" w14:textId="77777777" w:rsidR="00F45486" w:rsidRPr="00E92B2E" w:rsidRDefault="00F45486" w:rsidP="00AC2BF9">
            <w:pPr>
              <w:jc w:val="center"/>
              <w:rPr>
                <w:szCs w:val="22"/>
              </w:rPr>
            </w:pPr>
            <w:r w:rsidRPr="00E92B2E">
              <w:rPr>
                <w:szCs w:val="22"/>
              </w:rPr>
              <w:t>Gas</w:t>
            </w:r>
          </w:p>
        </w:tc>
        <w:tc>
          <w:tcPr>
            <w:tcW w:w="2205" w:type="dxa"/>
            <w:vMerge w:val="restart"/>
            <w:tcBorders>
              <w:top w:val="single" w:sz="12" w:space="0" w:color="auto"/>
              <w:left w:val="single" w:sz="12" w:space="0" w:color="auto"/>
              <w:bottom w:val="single" w:sz="12" w:space="0" w:color="auto"/>
              <w:right w:val="single" w:sz="12" w:space="0" w:color="auto"/>
            </w:tcBorders>
            <w:vAlign w:val="center"/>
          </w:tcPr>
          <w:p w14:paraId="72855B0A" w14:textId="77777777" w:rsidR="00F45486" w:rsidRPr="00E92B2E" w:rsidRDefault="00F45486" w:rsidP="00AC2BF9">
            <w:pPr>
              <w:jc w:val="center"/>
              <w:rPr>
                <w:szCs w:val="22"/>
              </w:rPr>
            </w:pPr>
          </w:p>
        </w:tc>
        <w:tc>
          <w:tcPr>
            <w:tcW w:w="1260" w:type="dxa"/>
            <w:tcBorders>
              <w:top w:val="single" w:sz="12" w:space="0" w:color="auto"/>
              <w:left w:val="single" w:sz="12" w:space="0" w:color="auto"/>
              <w:bottom w:val="single" w:sz="8" w:space="0" w:color="auto"/>
              <w:right w:val="single" w:sz="12" w:space="0" w:color="auto"/>
            </w:tcBorders>
            <w:vAlign w:val="center"/>
          </w:tcPr>
          <w:p w14:paraId="01028061" w14:textId="77777777" w:rsidR="00F45486" w:rsidRPr="00E92B2E" w:rsidRDefault="00F45486" w:rsidP="00AC2BF9">
            <w:pPr>
              <w:jc w:val="center"/>
              <w:rPr>
                <w:szCs w:val="22"/>
              </w:rPr>
            </w:pPr>
            <w:r w:rsidRPr="00E92B2E">
              <w:rPr>
                <w:szCs w:val="22"/>
              </w:rPr>
              <w:t>18</w:t>
            </w:r>
          </w:p>
        </w:tc>
        <w:tc>
          <w:tcPr>
            <w:tcW w:w="2355" w:type="dxa"/>
            <w:vMerge w:val="restart"/>
            <w:tcBorders>
              <w:top w:val="single" w:sz="12" w:space="0" w:color="auto"/>
              <w:left w:val="single" w:sz="12" w:space="0" w:color="auto"/>
              <w:bottom w:val="single" w:sz="12" w:space="0" w:color="auto"/>
              <w:right w:val="single" w:sz="12" w:space="0" w:color="auto"/>
            </w:tcBorders>
            <w:vAlign w:val="center"/>
          </w:tcPr>
          <w:p w14:paraId="5803B286" w14:textId="77777777" w:rsidR="00F45486" w:rsidRPr="00E92B2E" w:rsidRDefault="00F45486" w:rsidP="00AC2BF9">
            <w:pPr>
              <w:jc w:val="center"/>
              <w:rPr>
                <w:szCs w:val="22"/>
              </w:rPr>
            </w:pPr>
            <w:r w:rsidRPr="00E92B2E">
              <w:rPr>
                <w:szCs w:val="22"/>
              </w:rPr>
              <w:t>100</w:t>
            </w:r>
          </w:p>
        </w:tc>
        <w:tc>
          <w:tcPr>
            <w:tcW w:w="1800" w:type="dxa"/>
            <w:tcBorders>
              <w:top w:val="single" w:sz="12" w:space="0" w:color="auto"/>
              <w:left w:val="single" w:sz="12" w:space="0" w:color="auto"/>
              <w:bottom w:val="single" w:sz="12" w:space="0" w:color="auto"/>
              <w:right w:val="single" w:sz="12" w:space="0" w:color="auto"/>
            </w:tcBorders>
          </w:tcPr>
          <w:p w14:paraId="20E49BBE" w14:textId="77777777" w:rsidR="00F45486" w:rsidRPr="00E92B2E" w:rsidRDefault="00F45486" w:rsidP="00AC2BF9">
            <w:pPr>
              <w:jc w:val="center"/>
              <w:rPr>
                <w:szCs w:val="22"/>
              </w:rPr>
            </w:pPr>
            <w:r w:rsidRPr="00E92B2E">
              <w:rPr>
                <w:szCs w:val="22"/>
              </w:rPr>
              <w:t>N/A</w:t>
            </w:r>
          </w:p>
        </w:tc>
      </w:tr>
      <w:tr w:rsidR="00F45486" w:rsidRPr="00E92B2E" w14:paraId="5C1B1D84" w14:textId="77777777" w:rsidTr="00E92B2E">
        <w:trPr>
          <w:gridAfter w:val="1"/>
          <w:wAfter w:w="7" w:type="dxa"/>
        </w:trPr>
        <w:tc>
          <w:tcPr>
            <w:tcW w:w="1170" w:type="dxa"/>
            <w:vMerge/>
            <w:tcBorders>
              <w:top w:val="single" w:sz="12" w:space="0" w:color="auto"/>
              <w:left w:val="single" w:sz="12" w:space="0" w:color="auto"/>
              <w:bottom w:val="single" w:sz="12" w:space="0" w:color="auto"/>
              <w:right w:val="single" w:sz="12" w:space="0" w:color="auto"/>
            </w:tcBorders>
            <w:vAlign w:val="center"/>
          </w:tcPr>
          <w:p w14:paraId="59B113CF" w14:textId="77777777" w:rsidR="00F45486" w:rsidRPr="00E92B2E" w:rsidRDefault="00F45486" w:rsidP="00AC2BF9">
            <w:pPr>
              <w:jc w:val="center"/>
              <w:rPr>
                <w:szCs w:val="22"/>
              </w:rPr>
            </w:pPr>
          </w:p>
        </w:tc>
        <w:tc>
          <w:tcPr>
            <w:tcW w:w="750" w:type="dxa"/>
            <w:tcBorders>
              <w:top w:val="single" w:sz="8" w:space="0" w:color="auto"/>
              <w:left w:val="single" w:sz="12" w:space="0" w:color="auto"/>
              <w:bottom w:val="single" w:sz="12" w:space="0" w:color="auto"/>
              <w:right w:val="single" w:sz="12" w:space="0" w:color="auto"/>
            </w:tcBorders>
            <w:vAlign w:val="center"/>
          </w:tcPr>
          <w:p w14:paraId="7951E043" w14:textId="77777777" w:rsidR="00F45486" w:rsidRPr="00E92B2E" w:rsidRDefault="00F45486" w:rsidP="00AC2BF9">
            <w:pPr>
              <w:jc w:val="center"/>
              <w:rPr>
                <w:szCs w:val="22"/>
              </w:rPr>
            </w:pPr>
            <w:r w:rsidRPr="00E92B2E">
              <w:rPr>
                <w:szCs w:val="22"/>
              </w:rPr>
              <w:t>Oil</w:t>
            </w:r>
          </w:p>
        </w:tc>
        <w:tc>
          <w:tcPr>
            <w:tcW w:w="2205" w:type="dxa"/>
            <w:vMerge/>
            <w:tcBorders>
              <w:top w:val="single" w:sz="12" w:space="0" w:color="auto"/>
              <w:left w:val="single" w:sz="12" w:space="0" w:color="auto"/>
              <w:bottom w:val="single" w:sz="12" w:space="0" w:color="auto"/>
              <w:right w:val="single" w:sz="12" w:space="0" w:color="auto"/>
            </w:tcBorders>
            <w:vAlign w:val="center"/>
          </w:tcPr>
          <w:p w14:paraId="5515520A" w14:textId="77777777" w:rsidR="00F45486" w:rsidRPr="00E92B2E" w:rsidRDefault="00F45486" w:rsidP="00AC2BF9">
            <w:pPr>
              <w:jc w:val="center"/>
              <w:rPr>
                <w:szCs w:val="22"/>
              </w:rPr>
            </w:pPr>
          </w:p>
        </w:tc>
        <w:tc>
          <w:tcPr>
            <w:tcW w:w="1260" w:type="dxa"/>
            <w:tcBorders>
              <w:top w:val="single" w:sz="8" w:space="0" w:color="auto"/>
              <w:left w:val="single" w:sz="12" w:space="0" w:color="auto"/>
              <w:bottom w:val="single" w:sz="12" w:space="0" w:color="auto"/>
              <w:right w:val="single" w:sz="12" w:space="0" w:color="auto"/>
            </w:tcBorders>
            <w:vAlign w:val="center"/>
          </w:tcPr>
          <w:p w14:paraId="2DF93275" w14:textId="77777777" w:rsidR="00F45486" w:rsidRPr="00E92B2E" w:rsidRDefault="00F45486" w:rsidP="00AC2BF9">
            <w:pPr>
              <w:jc w:val="center"/>
              <w:rPr>
                <w:szCs w:val="22"/>
              </w:rPr>
            </w:pPr>
            <w:r w:rsidRPr="00E92B2E">
              <w:rPr>
                <w:szCs w:val="22"/>
              </w:rPr>
              <w:t>60.6</w:t>
            </w:r>
          </w:p>
        </w:tc>
        <w:tc>
          <w:tcPr>
            <w:tcW w:w="2355" w:type="dxa"/>
            <w:vMerge/>
            <w:tcBorders>
              <w:top w:val="single" w:sz="12" w:space="0" w:color="auto"/>
              <w:left w:val="single" w:sz="12" w:space="0" w:color="auto"/>
              <w:bottom w:val="single" w:sz="12" w:space="0" w:color="auto"/>
              <w:right w:val="single" w:sz="12" w:space="0" w:color="auto"/>
            </w:tcBorders>
            <w:vAlign w:val="center"/>
          </w:tcPr>
          <w:p w14:paraId="4C1190C3" w14:textId="77777777" w:rsidR="00F45486" w:rsidRPr="00E92B2E" w:rsidRDefault="00F45486" w:rsidP="00AC2BF9">
            <w:pPr>
              <w:jc w:val="center"/>
              <w:rPr>
                <w:szCs w:val="22"/>
              </w:rPr>
            </w:pPr>
          </w:p>
        </w:tc>
        <w:tc>
          <w:tcPr>
            <w:tcW w:w="1800" w:type="dxa"/>
            <w:tcBorders>
              <w:top w:val="single" w:sz="12" w:space="0" w:color="auto"/>
              <w:left w:val="single" w:sz="12" w:space="0" w:color="auto"/>
              <w:bottom w:val="single" w:sz="12" w:space="0" w:color="auto"/>
              <w:right w:val="single" w:sz="12" w:space="0" w:color="auto"/>
            </w:tcBorders>
          </w:tcPr>
          <w:p w14:paraId="58EB7602" w14:textId="77777777" w:rsidR="00F45486" w:rsidRPr="00E92B2E" w:rsidRDefault="00F45486" w:rsidP="00AC2BF9">
            <w:pPr>
              <w:jc w:val="center"/>
              <w:rPr>
                <w:szCs w:val="22"/>
              </w:rPr>
            </w:pPr>
            <w:r w:rsidRPr="00E92B2E">
              <w:rPr>
                <w:szCs w:val="22"/>
              </w:rPr>
              <w:t>Stack Test</w:t>
            </w:r>
          </w:p>
        </w:tc>
      </w:tr>
      <w:tr w:rsidR="00F45486" w:rsidRPr="00E92B2E" w14:paraId="63743BB1" w14:textId="77777777" w:rsidTr="00E92B2E">
        <w:trPr>
          <w:gridAfter w:val="1"/>
          <w:wAfter w:w="7" w:type="dxa"/>
        </w:trPr>
        <w:tc>
          <w:tcPr>
            <w:tcW w:w="1170" w:type="dxa"/>
            <w:vMerge w:val="restart"/>
            <w:tcBorders>
              <w:top w:val="single" w:sz="12" w:space="0" w:color="auto"/>
              <w:left w:val="single" w:sz="12" w:space="0" w:color="auto"/>
              <w:bottom w:val="single" w:sz="12" w:space="0" w:color="auto"/>
              <w:right w:val="single" w:sz="12" w:space="0" w:color="auto"/>
            </w:tcBorders>
            <w:vAlign w:val="center"/>
          </w:tcPr>
          <w:p w14:paraId="17483549" w14:textId="77777777" w:rsidR="00F45486" w:rsidRPr="00E92B2E" w:rsidRDefault="00F45486" w:rsidP="00AC2BF9">
            <w:pPr>
              <w:jc w:val="center"/>
              <w:rPr>
                <w:szCs w:val="22"/>
              </w:rPr>
            </w:pPr>
            <w:r w:rsidRPr="00E92B2E">
              <w:rPr>
                <w:szCs w:val="22"/>
              </w:rPr>
              <w:t>Pb</w:t>
            </w:r>
          </w:p>
        </w:tc>
        <w:tc>
          <w:tcPr>
            <w:tcW w:w="750" w:type="dxa"/>
            <w:tcBorders>
              <w:top w:val="single" w:sz="12" w:space="0" w:color="auto"/>
              <w:left w:val="single" w:sz="12" w:space="0" w:color="auto"/>
              <w:bottom w:val="single" w:sz="8" w:space="0" w:color="auto"/>
              <w:right w:val="single" w:sz="12" w:space="0" w:color="auto"/>
            </w:tcBorders>
            <w:vAlign w:val="center"/>
          </w:tcPr>
          <w:p w14:paraId="4830ED50" w14:textId="77777777" w:rsidR="00F45486" w:rsidRPr="00E92B2E" w:rsidRDefault="00F45486" w:rsidP="00AC2BF9">
            <w:pPr>
              <w:jc w:val="center"/>
              <w:rPr>
                <w:szCs w:val="22"/>
              </w:rPr>
            </w:pPr>
            <w:r w:rsidRPr="00E92B2E">
              <w:rPr>
                <w:szCs w:val="22"/>
              </w:rPr>
              <w:t>Gas</w:t>
            </w:r>
          </w:p>
        </w:tc>
        <w:tc>
          <w:tcPr>
            <w:tcW w:w="2205" w:type="dxa"/>
            <w:vMerge w:val="restart"/>
            <w:tcBorders>
              <w:top w:val="single" w:sz="12" w:space="0" w:color="auto"/>
              <w:left w:val="single" w:sz="12" w:space="0" w:color="auto"/>
              <w:bottom w:val="single" w:sz="12" w:space="0" w:color="auto"/>
              <w:right w:val="single" w:sz="12" w:space="0" w:color="auto"/>
            </w:tcBorders>
            <w:vAlign w:val="center"/>
          </w:tcPr>
          <w:p w14:paraId="180CEDF5" w14:textId="77777777" w:rsidR="00F45486" w:rsidRPr="00E92B2E" w:rsidRDefault="00F45486" w:rsidP="00AC2BF9">
            <w:pPr>
              <w:jc w:val="center"/>
              <w:rPr>
                <w:szCs w:val="22"/>
              </w:rPr>
            </w:pPr>
          </w:p>
        </w:tc>
        <w:tc>
          <w:tcPr>
            <w:tcW w:w="1260" w:type="dxa"/>
            <w:tcBorders>
              <w:top w:val="single" w:sz="12" w:space="0" w:color="auto"/>
              <w:left w:val="single" w:sz="12" w:space="0" w:color="auto"/>
              <w:bottom w:val="single" w:sz="8" w:space="0" w:color="auto"/>
              <w:right w:val="single" w:sz="12" w:space="0" w:color="auto"/>
            </w:tcBorders>
            <w:vAlign w:val="center"/>
          </w:tcPr>
          <w:p w14:paraId="431185F4" w14:textId="77777777" w:rsidR="00F45486" w:rsidRPr="00E92B2E" w:rsidRDefault="00F45486" w:rsidP="00AC2BF9">
            <w:pPr>
              <w:jc w:val="center"/>
              <w:rPr>
                <w:szCs w:val="22"/>
              </w:rPr>
            </w:pPr>
            <w:r w:rsidRPr="00E92B2E">
              <w:rPr>
                <w:szCs w:val="22"/>
              </w:rPr>
              <w:t>negligible</w:t>
            </w:r>
          </w:p>
        </w:tc>
        <w:tc>
          <w:tcPr>
            <w:tcW w:w="2355" w:type="dxa"/>
            <w:vMerge w:val="restart"/>
            <w:tcBorders>
              <w:top w:val="single" w:sz="12" w:space="0" w:color="auto"/>
              <w:left w:val="single" w:sz="12" w:space="0" w:color="auto"/>
              <w:bottom w:val="single" w:sz="12" w:space="0" w:color="auto"/>
              <w:right w:val="single" w:sz="12" w:space="0" w:color="auto"/>
            </w:tcBorders>
            <w:vAlign w:val="center"/>
          </w:tcPr>
          <w:p w14:paraId="124CB317" w14:textId="77777777" w:rsidR="00F45486" w:rsidRPr="00E92B2E" w:rsidRDefault="00F45486" w:rsidP="00AC2BF9">
            <w:pPr>
              <w:jc w:val="center"/>
              <w:rPr>
                <w:szCs w:val="22"/>
              </w:rPr>
            </w:pPr>
            <w:r w:rsidRPr="00E92B2E">
              <w:rPr>
                <w:szCs w:val="22"/>
              </w:rPr>
              <w:t>0.015</w:t>
            </w:r>
          </w:p>
        </w:tc>
        <w:tc>
          <w:tcPr>
            <w:tcW w:w="1800" w:type="dxa"/>
            <w:vMerge w:val="restart"/>
            <w:tcBorders>
              <w:top w:val="single" w:sz="12" w:space="0" w:color="auto"/>
              <w:left w:val="single" w:sz="12" w:space="0" w:color="auto"/>
              <w:right w:val="single" w:sz="12" w:space="0" w:color="auto"/>
            </w:tcBorders>
            <w:vAlign w:val="center"/>
          </w:tcPr>
          <w:p w14:paraId="237F3DD8" w14:textId="77777777" w:rsidR="00F45486" w:rsidRPr="00E92B2E" w:rsidRDefault="00F45486" w:rsidP="00AC2BF9">
            <w:pPr>
              <w:jc w:val="center"/>
              <w:rPr>
                <w:szCs w:val="22"/>
              </w:rPr>
            </w:pPr>
            <w:r w:rsidRPr="00E92B2E">
              <w:rPr>
                <w:szCs w:val="22"/>
              </w:rPr>
              <w:t>N/A</w:t>
            </w:r>
          </w:p>
        </w:tc>
      </w:tr>
      <w:tr w:rsidR="00F45486" w:rsidRPr="00E92B2E" w14:paraId="10E749DC" w14:textId="77777777" w:rsidTr="00E92B2E">
        <w:trPr>
          <w:gridAfter w:val="1"/>
          <w:wAfter w:w="7" w:type="dxa"/>
        </w:trPr>
        <w:tc>
          <w:tcPr>
            <w:tcW w:w="1170" w:type="dxa"/>
            <w:vMerge/>
            <w:tcBorders>
              <w:top w:val="single" w:sz="12" w:space="0" w:color="auto"/>
              <w:left w:val="single" w:sz="12" w:space="0" w:color="auto"/>
              <w:bottom w:val="single" w:sz="12" w:space="0" w:color="auto"/>
              <w:right w:val="single" w:sz="12" w:space="0" w:color="auto"/>
            </w:tcBorders>
            <w:vAlign w:val="center"/>
          </w:tcPr>
          <w:p w14:paraId="7D22E64A" w14:textId="77777777" w:rsidR="00F45486" w:rsidRPr="00E92B2E" w:rsidRDefault="00F45486" w:rsidP="00AC2BF9">
            <w:pPr>
              <w:jc w:val="center"/>
              <w:rPr>
                <w:szCs w:val="22"/>
              </w:rPr>
            </w:pPr>
          </w:p>
        </w:tc>
        <w:tc>
          <w:tcPr>
            <w:tcW w:w="750" w:type="dxa"/>
            <w:tcBorders>
              <w:top w:val="single" w:sz="8" w:space="0" w:color="auto"/>
              <w:left w:val="single" w:sz="12" w:space="0" w:color="auto"/>
              <w:bottom w:val="single" w:sz="12" w:space="0" w:color="auto"/>
              <w:right w:val="single" w:sz="12" w:space="0" w:color="auto"/>
            </w:tcBorders>
            <w:vAlign w:val="center"/>
          </w:tcPr>
          <w:p w14:paraId="3EE9A1CA" w14:textId="77777777" w:rsidR="00F45486" w:rsidRPr="00E92B2E" w:rsidRDefault="00F45486" w:rsidP="00AC2BF9">
            <w:pPr>
              <w:jc w:val="center"/>
              <w:rPr>
                <w:szCs w:val="22"/>
              </w:rPr>
            </w:pPr>
            <w:r w:rsidRPr="00E92B2E">
              <w:rPr>
                <w:szCs w:val="22"/>
              </w:rPr>
              <w:t>Oil</w:t>
            </w:r>
          </w:p>
        </w:tc>
        <w:tc>
          <w:tcPr>
            <w:tcW w:w="2205" w:type="dxa"/>
            <w:vMerge/>
            <w:tcBorders>
              <w:top w:val="single" w:sz="12" w:space="0" w:color="auto"/>
              <w:left w:val="single" w:sz="12" w:space="0" w:color="auto"/>
              <w:bottom w:val="single" w:sz="12" w:space="0" w:color="auto"/>
              <w:right w:val="single" w:sz="12" w:space="0" w:color="auto"/>
            </w:tcBorders>
            <w:vAlign w:val="center"/>
          </w:tcPr>
          <w:p w14:paraId="23F0946E" w14:textId="77777777" w:rsidR="00F45486" w:rsidRPr="00E92B2E" w:rsidRDefault="00F45486" w:rsidP="00AC2BF9">
            <w:pPr>
              <w:jc w:val="center"/>
              <w:rPr>
                <w:szCs w:val="22"/>
              </w:rPr>
            </w:pPr>
          </w:p>
        </w:tc>
        <w:tc>
          <w:tcPr>
            <w:tcW w:w="1260" w:type="dxa"/>
            <w:tcBorders>
              <w:top w:val="single" w:sz="8" w:space="0" w:color="auto"/>
              <w:left w:val="single" w:sz="12" w:space="0" w:color="auto"/>
              <w:bottom w:val="single" w:sz="12" w:space="0" w:color="auto"/>
              <w:right w:val="single" w:sz="12" w:space="0" w:color="auto"/>
            </w:tcBorders>
            <w:vAlign w:val="center"/>
          </w:tcPr>
          <w:p w14:paraId="5F7B15D4" w14:textId="77777777" w:rsidR="00F45486" w:rsidRPr="00E92B2E" w:rsidRDefault="00F45486" w:rsidP="00AC2BF9">
            <w:pPr>
              <w:jc w:val="center"/>
              <w:rPr>
                <w:szCs w:val="22"/>
              </w:rPr>
            </w:pPr>
            <w:r w:rsidRPr="00E92B2E">
              <w:rPr>
                <w:szCs w:val="22"/>
              </w:rPr>
              <w:t>0.015</w:t>
            </w:r>
          </w:p>
        </w:tc>
        <w:tc>
          <w:tcPr>
            <w:tcW w:w="2355" w:type="dxa"/>
            <w:vMerge/>
            <w:tcBorders>
              <w:top w:val="single" w:sz="12" w:space="0" w:color="auto"/>
              <w:left w:val="single" w:sz="12" w:space="0" w:color="auto"/>
              <w:bottom w:val="single" w:sz="12" w:space="0" w:color="auto"/>
              <w:right w:val="single" w:sz="12" w:space="0" w:color="auto"/>
            </w:tcBorders>
            <w:vAlign w:val="center"/>
          </w:tcPr>
          <w:p w14:paraId="10014601" w14:textId="77777777" w:rsidR="00F45486" w:rsidRPr="00E92B2E" w:rsidRDefault="00F45486" w:rsidP="00AC2BF9">
            <w:pPr>
              <w:jc w:val="center"/>
              <w:rPr>
                <w:szCs w:val="22"/>
              </w:rPr>
            </w:pPr>
          </w:p>
        </w:tc>
        <w:tc>
          <w:tcPr>
            <w:tcW w:w="1800" w:type="dxa"/>
            <w:vMerge/>
            <w:tcBorders>
              <w:left w:val="single" w:sz="12" w:space="0" w:color="auto"/>
              <w:bottom w:val="single" w:sz="12" w:space="0" w:color="auto"/>
              <w:right w:val="single" w:sz="12" w:space="0" w:color="auto"/>
            </w:tcBorders>
          </w:tcPr>
          <w:p w14:paraId="1BE73BA1" w14:textId="77777777" w:rsidR="00F45486" w:rsidRPr="00E92B2E" w:rsidRDefault="00F45486" w:rsidP="00AC2BF9">
            <w:pPr>
              <w:jc w:val="center"/>
              <w:rPr>
                <w:szCs w:val="22"/>
              </w:rPr>
            </w:pPr>
          </w:p>
        </w:tc>
      </w:tr>
      <w:tr w:rsidR="00F45486" w:rsidRPr="00E92B2E" w14:paraId="1EB50998" w14:textId="77777777" w:rsidTr="00E92B2E">
        <w:trPr>
          <w:gridAfter w:val="1"/>
          <w:wAfter w:w="7" w:type="dxa"/>
        </w:trPr>
        <w:tc>
          <w:tcPr>
            <w:tcW w:w="1170" w:type="dxa"/>
            <w:vMerge w:val="restart"/>
            <w:tcBorders>
              <w:top w:val="single" w:sz="12" w:space="0" w:color="auto"/>
              <w:left w:val="single" w:sz="12" w:space="0" w:color="auto"/>
              <w:bottom w:val="single" w:sz="12" w:space="0" w:color="auto"/>
              <w:right w:val="single" w:sz="12" w:space="0" w:color="auto"/>
            </w:tcBorders>
            <w:vAlign w:val="center"/>
          </w:tcPr>
          <w:p w14:paraId="14094382" w14:textId="77777777" w:rsidR="00F45486" w:rsidRPr="00E92B2E" w:rsidRDefault="00F45486" w:rsidP="00AC2BF9">
            <w:pPr>
              <w:jc w:val="center"/>
              <w:rPr>
                <w:szCs w:val="22"/>
              </w:rPr>
            </w:pPr>
            <w:r w:rsidRPr="00E92B2E">
              <w:rPr>
                <w:szCs w:val="22"/>
              </w:rPr>
              <w:t>SO</w:t>
            </w:r>
            <w:r w:rsidRPr="00E92B2E">
              <w:rPr>
                <w:szCs w:val="22"/>
                <w:vertAlign w:val="subscript"/>
              </w:rPr>
              <w:t>2</w:t>
            </w:r>
          </w:p>
        </w:tc>
        <w:tc>
          <w:tcPr>
            <w:tcW w:w="750" w:type="dxa"/>
            <w:tcBorders>
              <w:top w:val="single" w:sz="12" w:space="0" w:color="auto"/>
              <w:left w:val="single" w:sz="12" w:space="0" w:color="auto"/>
              <w:bottom w:val="single" w:sz="8" w:space="0" w:color="auto"/>
              <w:right w:val="single" w:sz="12" w:space="0" w:color="auto"/>
            </w:tcBorders>
            <w:vAlign w:val="center"/>
          </w:tcPr>
          <w:p w14:paraId="426F89C0" w14:textId="77777777" w:rsidR="00F45486" w:rsidRPr="00E92B2E" w:rsidRDefault="00F45486" w:rsidP="00AC2BF9">
            <w:pPr>
              <w:jc w:val="center"/>
              <w:rPr>
                <w:szCs w:val="22"/>
              </w:rPr>
            </w:pPr>
            <w:r w:rsidRPr="00E92B2E">
              <w:rPr>
                <w:szCs w:val="22"/>
              </w:rPr>
              <w:t>Gas</w:t>
            </w:r>
          </w:p>
        </w:tc>
        <w:tc>
          <w:tcPr>
            <w:tcW w:w="2205" w:type="dxa"/>
            <w:vMerge w:val="restart"/>
            <w:tcBorders>
              <w:top w:val="single" w:sz="12" w:space="0" w:color="auto"/>
              <w:left w:val="single" w:sz="12" w:space="0" w:color="auto"/>
              <w:bottom w:val="single" w:sz="12" w:space="0" w:color="auto"/>
              <w:right w:val="single" w:sz="12" w:space="0" w:color="auto"/>
            </w:tcBorders>
            <w:vAlign w:val="center"/>
          </w:tcPr>
          <w:p w14:paraId="4C045514" w14:textId="77777777" w:rsidR="00F45486" w:rsidRPr="00E92B2E" w:rsidRDefault="00F45486" w:rsidP="00AC2BF9">
            <w:pPr>
              <w:jc w:val="center"/>
              <w:rPr>
                <w:szCs w:val="22"/>
              </w:rPr>
            </w:pPr>
          </w:p>
        </w:tc>
        <w:tc>
          <w:tcPr>
            <w:tcW w:w="1260" w:type="dxa"/>
            <w:tcBorders>
              <w:top w:val="single" w:sz="12" w:space="0" w:color="auto"/>
              <w:left w:val="single" w:sz="12" w:space="0" w:color="auto"/>
              <w:bottom w:val="single" w:sz="8" w:space="0" w:color="auto"/>
              <w:right w:val="single" w:sz="12" w:space="0" w:color="auto"/>
            </w:tcBorders>
            <w:vAlign w:val="center"/>
          </w:tcPr>
          <w:p w14:paraId="5D40C14C" w14:textId="77777777" w:rsidR="00F45486" w:rsidRPr="00E92B2E" w:rsidRDefault="00F45486" w:rsidP="00AC2BF9">
            <w:pPr>
              <w:jc w:val="center"/>
              <w:rPr>
                <w:szCs w:val="22"/>
              </w:rPr>
            </w:pPr>
            <w:r w:rsidRPr="00E92B2E">
              <w:rPr>
                <w:szCs w:val="22"/>
              </w:rPr>
              <w:t>91.5</w:t>
            </w:r>
          </w:p>
        </w:tc>
        <w:tc>
          <w:tcPr>
            <w:tcW w:w="2355" w:type="dxa"/>
            <w:vMerge w:val="restart"/>
            <w:tcBorders>
              <w:top w:val="single" w:sz="12" w:space="0" w:color="auto"/>
              <w:left w:val="single" w:sz="12" w:space="0" w:color="auto"/>
              <w:bottom w:val="single" w:sz="12" w:space="0" w:color="auto"/>
              <w:right w:val="single" w:sz="12" w:space="0" w:color="auto"/>
            </w:tcBorders>
            <w:vAlign w:val="center"/>
          </w:tcPr>
          <w:p w14:paraId="18446311" w14:textId="77777777" w:rsidR="00F45486" w:rsidRPr="00E92B2E" w:rsidRDefault="00F45486" w:rsidP="00AC2BF9">
            <w:pPr>
              <w:jc w:val="center"/>
              <w:rPr>
                <w:szCs w:val="22"/>
              </w:rPr>
            </w:pPr>
            <w:r w:rsidRPr="00E92B2E">
              <w:rPr>
                <w:szCs w:val="22"/>
              </w:rPr>
              <w:t>568</w:t>
            </w:r>
          </w:p>
        </w:tc>
        <w:tc>
          <w:tcPr>
            <w:tcW w:w="1800" w:type="dxa"/>
            <w:vMerge w:val="restart"/>
            <w:tcBorders>
              <w:top w:val="single" w:sz="12" w:space="0" w:color="auto"/>
              <w:left w:val="single" w:sz="12" w:space="0" w:color="auto"/>
              <w:right w:val="single" w:sz="12" w:space="0" w:color="auto"/>
            </w:tcBorders>
            <w:vAlign w:val="center"/>
          </w:tcPr>
          <w:p w14:paraId="12995094" w14:textId="77777777" w:rsidR="00F45486" w:rsidRPr="00E92B2E" w:rsidRDefault="00F45486" w:rsidP="00AC2BF9">
            <w:pPr>
              <w:jc w:val="center"/>
              <w:rPr>
                <w:szCs w:val="22"/>
              </w:rPr>
            </w:pPr>
            <w:r w:rsidRPr="00E92B2E">
              <w:rPr>
                <w:szCs w:val="22"/>
              </w:rPr>
              <w:t>Fuel Specs.</w:t>
            </w:r>
          </w:p>
        </w:tc>
      </w:tr>
      <w:tr w:rsidR="00F45486" w:rsidRPr="00E92B2E" w14:paraId="0D20AF24" w14:textId="77777777" w:rsidTr="00E92B2E">
        <w:trPr>
          <w:gridAfter w:val="1"/>
          <w:wAfter w:w="7" w:type="dxa"/>
        </w:trPr>
        <w:tc>
          <w:tcPr>
            <w:tcW w:w="1170" w:type="dxa"/>
            <w:vMerge/>
            <w:tcBorders>
              <w:left w:val="single" w:sz="12" w:space="0" w:color="auto"/>
              <w:bottom w:val="single" w:sz="12" w:space="0" w:color="auto"/>
              <w:right w:val="single" w:sz="12" w:space="0" w:color="auto"/>
            </w:tcBorders>
            <w:vAlign w:val="center"/>
          </w:tcPr>
          <w:p w14:paraId="223DDF2B" w14:textId="77777777" w:rsidR="00F45486" w:rsidRPr="00E92B2E" w:rsidRDefault="00F45486" w:rsidP="00AC2BF9">
            <w:pPr>
              <w:jc w:val="center"/>
              <w:rPr>
                <w:szCs w:val="22"/>
              </w:rPr>
            </w:pPr>
          </w:p>
        </w:tc>
        <w:tc>
          <w:tcPr>
            <w:tcW w:w="750" w:type="dxa"/>
            <w:tcBorders>
              <w:top w:val="single" w:sz="8" w:space="0" w:color="auto"/>
              <w:left w:val="single" w:sz="12" w:space="0" w:color="auto"/>
              <w:bottom w:val="single" w:sz="12" w:space="0" w:color="auto"/>
              <w:right w:val="single" w:sz="12" w:space="0" w:color="auto"/>
            </w:tcBorders>
            <w:vAlign w:val="center"/>
          </w:tcPr>
          <w:p w14:paraId="3AA72B05" w14:textId="77777777" w:rsidR="00F45486" w:rsidRPr="00E92B2E" w:rsidRDefault="00F45486" w:rsidP="00AC2BF9">
            <w:pPr>
              <w:jc w:val="center"/>
              <w:rPr>
                <w:szCs w:val="22"/>
              </w:rPr>
            </w:pPr>
            <w:proofErr w:type="spellStart"/>
            <w:r w:rsidRPr="00E92B2E">
              <w:rPr>
                <w:szCs w:val="22"/>
              </w:rPr>
              <w:t>Oil</w:t>
            </w:r>
            <w:r w:rsidRPr="00E92B2E">
              <w:rPr>
                <w:b/>
                <w:szCs w:val="22"/>
                <w:vertAlign w:val="superscript"/>
              </w:rPr>
              <w:t>c</w:t>
            </w:r>
            <w:proofErr w:type="spellEnd"/>
            <w:r w:rsidRPr="00E92B2E">
              <w:rPr>
                <w:b/>
                <w:szCs w:val="22"/>
                <w:vertAlign w:val="superscript"/>
              </w:rPr>
              <w:t>.</w:t>
            </w:r>
          </w:p>
        </w:tc>
        <w:tc>
          <w:tcPr>
            <w:tcW w:w="2205" w:type="dxa"/>
            <w:vMerge/>
            <w:tcBorders>
              <w:top w:val="single" w:sz="12" w:space="0" w:color="auto"/>
              <w:left w:val="single" w:sz="12" w:space="0" w:color="auto"/>
              <w:bottom w:val="single" w:sz="12" w:space="0" w:color="auto"/>
              <w:right w:val="single" w:sz="12" w:space="0" w:color="auto"/>
            </w:tcBorders>
            <w:vAlign w:val="center"/>
          </w:tcPr>
          <w:p w14:paraId="3A2A33B6" w14:textId="77777777" w:rsidR="00F45486" w:rsidRPr="00E92B2E" w:rsidRDefault="00F45486" w:rsidP="00AC2BF9">
            <w:pPr>
              <w:jc w:val="center"/>
              <w:rPr>
                <w:szCs w:val="22"/>
              </w:rPr>
            </w:pPr>
          </w:p>
        </w:tc>
        <w:tc>
          <w:tcPr>
            <w:tcW w:w="1260" w:type="dxa"/>
            <w:tcBorders>
              <w:top w:val="single" w:sz="8" w:space="0" w:color="auto"/>
              <w:left w:val="single" w:sz="12" w:space="0" w:color="auto"/>
              <w:bottom w:val="single" w:sz="12" w:space="0" w:color="auto"/>
              <w:right w:val="single" w:sz="12" w:space="0" w:color="auto"/>
            </w:tcBorders>
            <w:vAlign w:val="center"/>
          </w:tcPr>
          <w:p w14:paraId="000E9F3E" w14:textId="77777777" w:rsidR="00F45486" w:rsidRPr="00E92B2E" w:rsidRDefault="00F45486" w:rsidP="00AC2BF9">
            <w:pPr>
              <w:jc w:val="center"/>
              <w:rPr>
                <w:szCs w:val="22"/>
              </w:rPr>
            </w:pPr>
            <w:r w:rsidRPr="00E92B2E">
              <w:rPr>
                <w:szCs w:val="22"/>
              </w:rPr>
              <w:t>920</w:t>
            </w:r>
          </w:p>
        </w:tc>
        <w:tc>
          <w:tcPr>
            <w:tcW w:w="2355" w:type="dxa"/>
            <w:vMerge/>
            <w:tcBorders>
              <w:top w:val="single" w:sz="12" w:space="0" w:color="auto"/>
              <w:left w:val="single" w:sz="12" w:space="0" w:color="auto"/>
              <w:bottom w:val="single" w:sz="12" w:space="0" w:color="auto"/>
              <w:right w:val="single" w:sz="12" w:space="0" w:color="auto"/>
            </w:tcBorders>
            <w:vAlign w:val="center"/>
          </w:tcPr>
          <w:p w14:paraId="4BFFC3FF" w14:textId="77777777" w:rsidR="00F45486" w:rsidRPr="00E92B2E" w:rsidRDefault="00F45486" w:rsidP="00AC2BF9">
            <w:pPr>
              <w:jc w:val="center"/>
              <w:rPr>
                <w:szCs w:val="22"/>
              </w:rPr>
            </w:pPr>
          </w:p>
        </w:tc>
        <w:tc>
          <w:tcPr>
            <w:tcW w:w="1800" w:type="dxa"/>
            <w:vMerge/>
            <w:tcBorders>
              <w:left w:val="single" w:sz="12" w:space="0" w:color="auto"/>
              <w:bottom w:val="single" w:sz="12" w:space="0" w:color="auto"/>
              <w:right w:val="single" w:sz="12" w:space="0" w:color="auto"/>
            </w:tcBorders>
          </w:tcPr>
          <w:p w14:paraId="2E0EE980" w14:textId="77777777" w:rsidR="00F45486" w:rsidRPr="00E92B2E" w:rsidRDefault="00F45486" w:rsidP="00AC2BF9">
            <w:pPr>
              <w:jc w:val="center"/>
              <w:rPr>
                <w:szCs w:val="22"/>
              </w:rPr>
            </w:pPr>
          </w:p>
        </w:tc>
      </w:tr>
      <w:tr w:rsidR="00F45486" w:rsidRPr="00E92B2E" w14:paraId="1B340495" w14:textId="77777777" w:rsidTr="00E92B2E">
        <w:trPr>
          <w:trHeight w:val="1095"/>
        </w:trPr>
        <w:tc>
          <w:tcPr>
            <w:tcW w:w="9547" w:type="dxa"/>
            <w:gridSpan w:val="7"/>
            <w:tcBorders>
              <w:left w:val="single" w:sz="12" w:space="0" w:color="auto"/>
              <w:bottom w:val="single" w:sz="12" w:space="0" w:color="auto"/>
              <w:right w:val="single" w:sz="12" w:space="0" w:color="auto"/>
            </w:tcBorders>
            <w:vAlign w:val="center"/>
          </w:tcPr>
          <w:p w14:paraId="39EBB12D" w14:textId="77777777" w:rsidR="00F45486" w:rsidRPr="00E92B2E" w:rsidRDefault="00F45486" w:rsidP="00061DE9">
            <w:pPr>
              <w:numPr>
                <w:ilvl w:val="0"/>
                <w:numId w:val="77"/>
              </w:numPr>
              <w:ind w:left="342"/>
              <w:rPr>
                <w:szCs w:val="22"/>
              </w:rPr>
            </w:pPr>
            <w:r w:rsidRPr="00E92B2E">
              <w:rPr>
                <w:szCs w:val="22"/>
              </w:rPr>
              <w:t>Tons per year (TPY) emission limits listed for natural gas and oil combined apply as an emissions cap based on limiting oil firing to an annual aggregate of 2,000 hours for the 4 CT units, with compliance to be demonstrated in annual operation reports.</w:t>
            </w:r>
          </w:p>
          <w:p w14:paraId="21F8CE8F" w14:textId="77777777" w:rsidR="00F45486" w:rsidRPr="00E92B2E" w:rsidRDefault="00F45486" w:rsidP="00061DE9">
            <w:pPr>
              <w:numPr>
                <w:ilvl w:val="0"/>
                <w:numId w:val="77"/>
              </w:numPr>
              <w:ind w:left="342"/>
              <w:rPr>
                <w:szCs w:val="22"/>
              </w:rPr>
            </w:pPr>
            <w:r w:rsidRPr="00E92B2E">
              <w:rPr>
                <w:szCs w:val="22"/>
              </w:rPr>
              <w:t>Exclusive of background concentrations.</w:t>
            </w:r>
          </w:p>
          <w:p w14:paraId="61191B2A" w14:textId="77777777" w:rsidR="00F45486" w:rsidRPr="00E92B2E" w:rsidRDefault="00F45486" w:rsidP="00061DE9">
            <w:pPr>
              <w:numPr>
                <w:ilvl w:val="0"/>
                <w:numId w:val="77"/>
              </w:numPr>
              <w:ind w:left="342"/>
              <w:rPr>
                <w:szCs w:val="22"/>
              </w:rPr>
            </w:pPr>
            <w:r w:rsidRPr="00E92B2E">
              <w:rPr>
                <w:szCs w:val="22"/>
              </w:rPr>
              <w:t>Sulfur dioxide emissions based on a maximum of 0.5 percent sulfur content, by weight, in oil for hourly emissions and an average sulfur content of 0.3 percent, by weight, for annual emissions.</w:t>
            </w:r>
          </w:p>
        </w:tc>
      </w:tr>
    </w:tbl>
    <w:p w14:paraId="207A134A" w14:textId="756BBC55" w:rsidR="00F45486" w:rsidRDefault="00F45486" w:rsidP="00FD377E">
      <w:pPr>
        <w:tabs>
          <w:tab w:val="left" w:pos="0"/>
        </w:tabs>
        <w:spacing w:after="120"/>
        <w:ind w:left="360"/>
        <w:rPr>
          <w:szCs w:val="22"/>
        </w:rPr>
      </w:pPr>
      <w:bookmarkStart w:id="97" w:name="_Hlk505245469"/>
      <w:bookmarkEnd w:id="96"/>
      <w:r w:rsidRPr="00D122E6">
        <w:rPr>
          <w:szCs w:val="22"/>
        </w:rPr>
        <w:t>[Rule 62-212.400(BACT), F.A.C.; and, Permit No. PSD-FL-146, Specific Condition No. 4.]</w:t>
      </w:r>
      <w:bookmarkEnd w:id="97"/>
    </w:p>
    <w:p w14:paraId="4124F227" w14:textId="3D539D67" w:rsidR="00A501BF" w:rsidRPr="007B4C6C" w:rsidRDefault="00A501BF" w:rsidP="00FD377E">
      <w:pPr>
        <w:tabs>
          <w:tab w:val="left" w:pos="0"/>
        </w:tabs>
        <w:spacing w:after="120"/>
        <w:ind w:left="360"/>
        <w:rPr>
          <w:szCs w:val="22"/>
        </w:rPr>
      </w:pPr>
      <w:r w:rsidRPr="007B4C6C">
        <w:rPr>
          <w:i/>
        </w:rPr>
        <w:t>{Permitting Note:  Chapter 403.0872(13)(b) of the Florida Statutes states that, for emission units that are subject to continuous monitoring requirements under 40 CFR 75, compliance with NO</w:t>
      </w:r>
      <w:r w:rsidRPr="007B4C6C">
        <w:rPr>
          <w:i/>
          <w:vertAlign w:val="subscript"/>
        </w:rPr>
        <w:t>X</w:t>
      </w:r>
      <w:r w:rsidRPr="007B4C6C">
        <w:rPr>
          <w:i/>
        </w:rPr>
        <w:t xml:space="preserve"> emission limits shall be demonstrated based on a 30-day rolling average, except as specifically provided by 40 CFR part 60 or part 76.}</w:t>
      </w:r>
      <w:bookmarkEnd w:id="94"/>
    </w:p>
    <w:p w14:paraId="288E87D1" w14:textId="77777777" w:rsidR="00D122E6" w:rsidRPr="007B4C6C" w:rsidRDefault="00D122E6" w:rsidP="001F75E6">
      <w:pPr>
        <w:numPr>
          <w:ilvl w:val="0"/>
          <w:numId w:val="5"/>
        </w:numPr>
      </w:pPr>
      <w:bookmarkStart w:id="98" w:name="_Hlk523234398"/>
      <w:bookmarkStart w:id="99" w:name="_Hlk520206053"/>
      <w:bookmarkStart w:id="100" w:name="_Ref511139984"/>
      <w:bookmarkEnd w:id="95"/>
      <w:r w:rsidRPr="007B4C6C">
        <w:rPr>
          <w:u w:val="single"/>
        </w:rPr>
        <w:t>NSPS NO</w:t>
      </w:r>
      <w:r w:rsidRPr="007B4C6C">
        <w:rPr>
          <w:u w:val="single"/>
          <w:vertAlign w:val="subscript"/>
        </w:rPr>
        <w:t>X</w:t>
      </w:r>
      <w:r w:rsidRPr="007B4C6C">
        <w:rPr>
          <w:u w:val="single"/>
        </w:rPr>
        <w:t xml:space="preserve"> Emissions Limits</w:t>
      </w:r>
      <w:r w:rsidRPr="007B4C6C">
        <w:t>.  The permittee shall not cause to be discharged into the atmosphere from any stationary gas turbine, any gases which contain NO</w:t>
      </w:r>
      <w:r w:rsidRPr="007B4C6C">
        <w:rPr>
          <w:vertAlign w:val="subscript"/>
        </w:rPr>
        <w:t>X</w:t>
      </w:r>
      <w:r w:rsidRPr="007B4C6C">
        <w:t xml:space="preserve"> in excess of:</w:t>
      </w:r>
      <w:bookmarkEnd w:id="98"/>
    </w:p>
    <w:p w14:paraId="7EFD1E2F" w14:textId="77777777" w:rsidR="00D122E6" w:rsidRPr="007B4C6C" w:rsidRDefault="00D122E6" w:rsidP="00A501BF">
      <w:pPr>
        <w:pStyle w:val="ListParagraph"/>
        <w:numPr>
          <w:ilvl w:val="0"/>
          <w:numId w:val="137"/>
        </w:numPr>
        <w:spacing w:after="60"/>
        <w:rPr>
          <w:i/>
        </w:rPr>
      </w:pPr>
      <w:bookmarkStart w:id="101" w:name="_Hlk523234426"/>
      <m:oMath>
        <m:r>
          <w:rPr>
            <w:rFonts w:ascii="Cambria Math" w:hAnsi="Cambria Math"/>
          </w:rPr>
          <m:t>STD=0.0075</m:t>
        </m:r>
        <m:f>
          <m:fPr>
            <m:ctrlPr>
              <w:rPr>
                <w:rFonts w:ascii="Cambria Math" w:hAnsi="Cambria Math"/>
                <w:i/>
              </w:rPr>
            </m:ctrlPr>
          </m:fPr>
          <m:num>
            <m:r>
              <w:rPr>
                <w:rFonts w:ascii="Cambria Math" w:hAnsi="Cambria Math"/>
              </w:rPr>
              <m:t>(14.4)</m:t>
            </m:r>
          </m:num>
          <m:den>
            <m:r>
              <w:rPr>
                <w:rFonts w:ascii="Cambria Math" w:hAnsi="Cambria Math"/>
              </w:rPr>
              <m:t>Y</m:t>
            </m:r>
          </m:den>
        </m:f>
        <m:r>
          <w:rPr>
            <w:rFonts w:ascii="Cambria Math" w:hAnsi="Cambria Math"/>
          </w:rPr>
          <m:t>+F</m:t>
        </m:r>
      </m:oMath>
      <w:bookmarkEnd w:id="101"/>
      <w:r w:rsidRPr="007B4C6C">
        <w:rPr>
          <w:i/>
        </w:rPr>
        <w:t xml:space="preserve"> </w:t>
      </w:r>
    </w:p>
    <w:p w14:paraId="4F7BF94B" w14:textId="77777777" w:rsidR="00D122E6" w:rsidRPr="007B4C6C" w:rsidRDefault="00D122E6" w:rsidP="00A501BF">
      <w:pPr>
        <w:ind w:left="720"/>
      </w:pPr>
      <w:bookmarkStart w:id="102" w:name="_Hlk523234459"/>
      <w:r w:rsidRPr="007B4C6C">
        <w:t xml:space="preserve">Where: </w:t>
      </w:r>
    </w:p>
    <w:p w14:paraId="621794C6" w14:textId="77777777" w:rsidR="00D122E6" w:rsidRPr="007B4C6C" w:rsidRDefault="00D122E6" w:rsidP="00A501BF">
      <w:pPr>
        <w:ind w:left="1080" w:hanging="360"/>
      </w:pPr>
      <w:r w:rsidRPr="007B4C6C">
        <w:t>STD = allowable ISO corrected (if required as given in 40 CFR 60.335(b)(1)) NO</w:t>
      </w:r>
      <w:r w:rsidRPr="007B4C6C">
        <w:rPr>
          <w:vertAlign w:val="subscript"/>
        </w:rPr>
        <w:t>X</w:t>
      </w:r>
      <w:r w:rsidRPr="007B4C6C">
        <w:t xml:space="preserve"> emission concentration (percent by volume at 15% O</w:t>
      </w:r>
      <w:r w:rsidRPr="007B4C6C">
        <w:rPr>
          <w:vertAlign w:val="subscript"/>
        </w:rPr>
        <w:t>2</w:t>
      </w:r>
      <w:r w:rsidRPr="007B4C6C">
        <w:t xml:space="preserve"> on a dry basis),</w:t>
      </w:r>
    </w:p>
    <w:p w14:paraId="3DB36AAA" w14:textId="77777777" w:rsidR="00D122E6" w:rsidRPr="007B4C6C" w:rsidRDefault="00D122E6" w:rsidP="00A501BF">
      <w:pPr>
        <w:ind w:left="1080" w:hanging="360"/>
      </w:pPr>
      <w:r w:rsidRPr="007B4C6C">
        <w:t>Y = manufacturer’s rated heat rate at manufacturer’s rated peak load (kilojoules per watt hour), or actual measured heat rate based on lower heating value of fuel as measured at actual peak load for the facility.  The value of Y shall not exceed 14.4 kilojoules per watt hour, and</w:t>
      </w:r>
    </w:p>
    <w:p w14:paraId="270FC377" w14:textId="6E81201A" w:rsidR="00D122E6" w:rsidRPr="007B4C6C" w:rsidRDefault="00D122E6" w:rsidP="00A501BF">
      <w:pPr>
        <w:ind w:left="1080" w:hanging="360"/>
      </w:pPr>
      <w:r w:rsidRPr="007B4C6C">
        <w:t>F = Optional NO</w:t>
      </w:r>
      <w:r w:rsidRPr="007B4C6C">
        <w:rPr>
          <w:vertAlign w:val="subscript"/>
        </w:rPr>
        <w:t>X</w:t>
      </w:r>
      <w:r w:rsidRPr="007B4C6C">
        <w:t xml:space="preserve"> emission allowance for fuel-bound nitrogen as defined in </w:t>
      </w:r>
      <w:r w:rsidR="00A501BF" w:rsidRPr="007B4C6C">
        <w:rPr>
          <w:b/>
        </w:rPr>
        <w:fldChar w:fldCharType="begin"/>
      </w:r>
      <w:r w:rsidR="00A501BF" w:rsidRPr="007B4C6C">
        <w:rPr>
          <w:b/>
        </w:rPr>
        <w:instrText xml:space="preserve"> REF _Ref523233027 \r \h  \* MERGEFORMAT </w:instrText>
      </w:r>
      <w:r w:rsidR="00A501BF" w:rsidRPr="007B4C6C">
        <w:rPr>
          <w:b/>
        </w:rPr>
      </w:r>
      <w:r w:rsidR="00A501BF" w:rsidRPr="007B4C6C">
        <w:rPr>
          <w:b/>
        </w:rPr>
        <w:fldChar w:fldCharType="separate"/>
      </w:r>
      <w:r w:rsidR="00D31800">
        <w:rPr>
          <w:b/>
        </w:rPr>
        <w:t>c</w:t>
      </w:r>
      <w:r w:rsidR="00A501BF" w:rsidRPr="007B4C6C">
        <w:rPr>
          <w:b/>
        </w:rPr>
        <w:fldChar w:fldCharType="end"/>
      </w:r>
      <w:r w:rsidRPr="007B4C6C">
        <w:t>.</w:t>
      </w:r>
    </w:p>
    <w:p w14:paraId="3294EECE" w14:textId="457B85D7" w:rsidR="00A501BF" w:rsidRPr="007B4C6C" w:rsidRDefault="00A501BF" w:rsidP="00A501BF">
      <w:pPr>
        <w:pStyle w:val="ListParagraph"/>
        <w:numPr>
          <w:ilvl w:val="0"/>
          <w:numId w:val="137"/>
        </w:numPr>
        <w:contextualSpacing w:val="0"/>
      </w:pPr>
      <w:bookmarkStart w:id="103" w:name="_Hlk523234532"/>
      <w:bookmarkEnd w:id="102"/>
      <w:r w:rsidRPr="007B4C6C">
        <w:t>The use of F in the previous paragraph is optional.  That is, the permittee may choose to apply a NO</w:t>
      </w:r>
      <w:r w:rsidRPr="007B4C6C">
        <w:rPr>
          <w:vertAlign w:val="subscript"/>
        </w:rPr>
        <w:t>X</w:t>
      </w:r>
      <w:r w:rsidRPr="007B4C6C">
        <w:t xml:space="preserve"> allowance for fuel-bound nitrogen and determine the appropriate F-value in accordance with paragraph (a)(4) of this section or may accept an F-value of zero.</w:t>
      </w:r>
      <w:bookmarkEnd w:id="103"/>
    </w:p>
    <w:p w14:paraId="6826E8D2" w14:textId="7EC0FC24" w:rsidR="00A501BF" w:rsidRPr="007B4C6C" w:rsidRDefault="00A501BF" w:rsidP="00A501BF">
      <w:pPr>
        <w:pStyle w:val="ListParagraph"/>
        <w:numPr>
          <w:ilvl w:val="0"/>
          <w:numId w:val="137"/>
        </w:numPr>
        <w:spacing w:after="60"/>
        <w:contextualSpacing w:val="0"/>
      </w:pPr>
      <w:bookmarkStart w:id="104" w:name="_Ref523233027"/>
      <w:r w:rsidRPr="007B4C6C">
        <w:t>If the permittee elects to apply a NO</w:t>
      </w:r>
      <w:r w:rsidRPr="007B4C6C">
        <w:rPr>
          <w:vertAlign w:val="subscript"/>
        </w:rPr>
        <w:t>X</w:t>
      </w:r>
      <w:r w:rsidRPr="007B4C6C">
        <w:t xml:space="preserve"> emission allowance for fuel-bound nitrogen, F shall be defined according to the nitrogen content of the fuel during the most recent performance test required under 40 CFR 60.8 as follows:</w:t>
      </w:r>
      <w:bookmarkEnd w:id="104"/>
    </w:p>
    <w:tbl>
      <w:tblPr>
        <w:tblStyle w:val="TableGrid1"/>
        <w:tblW w:w="0" w:type="auto"/>
        <w:tblInd w:w="720"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4665"/>
        <w:gridCol w:w="4665"/>
      </w:tblGrid>
      <w:tr w:rsidR="00A501BF" w:rsidRPr="007B4C6C" w14:paraId="6F313091" w14:textId="77777777" w:rsidTr="00A501BF">
        <w:trPr>
          <w:tblHeader/>
        </w:trPr>
        <w:tc>
          <w:tcPr>
            <w:tcW w:w="4665" w:type="dxa"/>
          </w:tcPr>
          <w:p w14:paraId="609B3C3D" w14:textId="77777777" w:rsidR="00A501BF" w:rsidRPr="007B4C6C" w:rsidRDefault="00A501BF" w:rsidP="00A501BF">
            <w:pPr>
              <w:spacing w:after="60"/>
              <w:rPr>
                <w:rFonts w:ascii="Times New Roman" w:hAnsi="Times New Roman"/>
                <w:b/>
              </w:rPr>
            </w:pPr>
            <w:bookmarkStart w:id="105" w:name="_Hlk523234560"/>
            <w:r w:rsidRPr="007B4C6C">
              <w:rPr>
                <w:rFonts w:ascii="Times New Roman" w:hAnsi="Times New Roman"/>
                <w:b/>
              </w:rPr>
              <w:t>Fuel-bound nitrogen (percent by weight)</w:t>
            </w:r>
          </w:p>
        </w:tc>
        <w:tc>
          <w:tcPr>
            <w:tcW w:w="4665" w:type="dxa"/>
          </w:tcPr>
          <w:p w14:paraId="3E62CBCC" w14:textId="77777777" w:rsidR="00A501BF" w:rsidRPr="007B4C6C" w:rsidRDefault="00A501BF" w:rsidP="00A501BF">
            <w:pPr>
              <w:spacing w:after="60"/>
              <w:rPr>
                <w:rFonts w:ascii="Times New Roman" w:hAnsi="Times New Roman"/>
                <w:b/>
              </w:rPr>
            </w:pPr>
            <w:r w:rsidRPr="007B4C6C">
              <w:rPr>
                <w:rFonts w:ascii="Times New Roman" w:hAnsi="Times New Roman"/>
                <w:b/>
              </w:rPr>
              <w:t>F (NO</w:t>
            </w:r>
            <w:r w:rsidRPr="007B4C6C">
              <w:rPr>
                <w:rFonts w:ascii="Times New Roman" w:hAnsi="Times New Roman"/>
                <w:b/>
                <w:vertAlign w:val="subscript"/>
              </w:rPr>
              <w:t>X</w:t>
            </w:r>
            <w:r w:rsidRPr="007B4C6C">
              <w:rPr>
                <w:rFonts w:ascii="Times New Roman" w:hAnsi="Times New Roman"/>
                <w:b/>
              </w:rPr>
              <w:t xml:space="preserve"> percent by volume)</w:t>
            </w:r>
          </w:p>
        </w:tc>
      </w:tr>
      <w:tr w:rsidR="00A501BF" w:rsidRPr="007B4C6C" w14:paraId="2D58496D" w14:textId="77777777" w:rsidTr="00A501BF">
        <w:tc>
          <w:tcPr>
            <w:tcW w:w="4665" w:type="dxa"/>
          </w:tcPr>
          <w:p w14:paraId="4D211440" w14:textId="77777777" w:rsidR="00A501BF" w:rsidRPr="007B4C6C" w:rsidRDefault="00A501BF" w:rsidP="00A501BF">
            <w:pPr>
              <w:spacing w:after="60"/>
              <w:rPr>
                <w:rFonts w:ascii="Times New Roman" w:hAnsi="Times New Roman"/>
              </w:rPr>
            </w:pPr>
            <w:r w:rsidRPr="007B4C6C">
              <w:rPr>
                <w:rFonts w:ascii="Times New Roman" w:hAnsi="Times New Roman"/>
              </w:rPr>
              <w:t>N ≤ 0.015</w:t>
            </w:r>
          </w:p>
        </w:tc>
        <w:tc>
          <w:tcPr>
            <w:tcW w:w="4665" w:type="dxa"/>
          </w:tcPr>
          <w:p w14:paraId="0912B28C" w14:textId="77777777" w:rsidR="00A501BF" w:rsidRPr="007B4C6C" w:rsidRDefault="00A501BF" w:rsidP="00A501BF">
            <w:pPr>
              <w:spacing w:after="60"/>
              <w:rPr>
                <w:rFonts w:ascii="Times New Roman" w:hAnsi="Times New Roman"/>
              </w:rPr>
            </w:pPr>
            <w:r w:rsidRPr="007B4C6C">
              <w:rPr>
                <w:rFonts w:ascii="Times New Roman" w:hAnsi="Times New Roman"/>
              </w:rPr>
              <w:t>0</w:t>
            </w:r>
          </w:p>
        </w:tc>
      </w:tr>
      <w:tr w:rsidR="00A501BF" w:rsidRPr="007B4C6C" w14:paraId="0479CCEF" w14:textId="77777777" w:rsidTr="00A501BF">
        <w:tc>
          <w:tcPr>
            <w:tcW w:w="4665" w:type="dxa"/>
          </w:tcPr>
          <w:p w14:paraId="2F05A6A7" w14:textId="77777777" w:rsidR="00A501BF" w:rsidRPr="007B4C6C" w:rsidRDefault="00A501BF" w:rsidP="00A501BF">
            <w:pPr>
              <w:spacing w:after="60"/>
              <w:rPr>
                <w:rFonts w:ascii="Times New Roman" w:hAnsi="Times New Roman"/>
              </w:rPr>
            </w:pPr>
            <w:r w:rsidRPr="007B4C6C">
              <w:rPr>
                <w:rFonts w:ascii="Times New Roman" w:hAnsi="Times New Roman"/>
              </w:rPr>
              <w:t>0.015 &lt; N ≤ 0.1</w:t>
            </w:r>
          </w:p>
        </w:tc>
        <w:tc>
          <w:tcPr>
            <w:tcW w:w="4665" w:type="dxa"/>
          </w:tcPr>
          <w:p w14:paraId="06D71629" w14:textId="77777777" w:rsidR="00A501BF" w:rsidRPr="007B4C6C" w:rsidRDefault="00A501BF" w:rsidP="00A501BF">
            <w:pPr>
              <w:spacing w:after="60"/>
              <w:rPr>
                <w:rFonts w:ascii="Times New Roman" w:hAnsi="Times New Roman"/>
              </w:rPr>
            </w:pPr>
            <w:r w:rsidRPr="007B4C6C">
              <w:rPr>
                <w:rFonts w:ascii="Times New Roman" w:hAnsi="Times New Roman"/>
              </w:rPr>
              <w:t>0.04 (N)</w:t>
            </w:r>
          </w:p>
        </w:tc>
      </w:tr>
      <w:tr w:rsidR="00A501BF" w:rsidRPr="007B4C6C" w14:paraId="20C629E9" w14:textId="77777777" w:rsidTr="00A501BF">
        <w:tc>
          <w:tcPr>
            <w:tcW w:w="4665" w:type="dxa"/>
          </w:tcPr>
          <w:p w14:paraId="4FB79C7A" w14:textId="77777777" w:rsidR="00A501BF" w:rsidRPr="007B4C6C" w:rsidRDefault="00A501BF" w:rsidP="00A501BF">
            <w:pPr>
              <w:spacing w:after="60"/>
              <w:rPr>
                <w:rFonts w:ascii="Times New Roman" w:hAnsi="Times New Roman"/>
              </w:rPr>
            </w:pPr>
            <w:r w:rsidRPr="007B4C6C">
              <w:rPr>
                <w:rFonts w:ascii="Times New Roman" w:hAnsi="Times New Roman"/>
              </w:rPr>
              <w:t>0.1 &lt; N ≤ 0.25</w:t>
            </w:r>
          </w:p>
        </w:tc>
        <w:tc>
          <w:tcPr>
            <w:tcW w:w="4665" w:type="dxa"/>
          </w:tcPr>
          <w:p w14:paraId="51FAE23D" w14:textId="77777777" w:rsidR="00A501BF" w:rsidRPr="007B4C6C" w:rsidRDefault="00A501BF" w:rsidP="00A501BF">
            <w:pPr>
              <w:spacing w:after="60"/>
              <w:rPr>
                <w:rFonts w:ascii="Times New Roman" w:hAnsi="Times New Roman"/>
              </w:rPr>
            </w:pPr>
            <w:r w:rsidRPr="007B4C6C">
              <w:rPr>
                <w:rFonts w:ascii="Times New Roman" w:hAnsi="Times New Roman"/>
              </w:rPr>
              <w:t>0.004 + 0.0067 (N – 0.1)</w:t>
            </w:r>
          </w:p>
        </w:tc>
      </w:tr>
      <w:tr w:rsidR="00A501BF" w:rsidRPr="007B4C6C" w14:paraId="190A9410" w14:textId="77777777" w:rsidTr="00A501BF">
        <w:tc>
          <w:tcPr>
            <w:tcW w:w="4665" w:type="dxa"/>
          </w:tcPr>
          <w:p w14:paraId="6D428AC3" w14:textId="77777777" w:rsidR="00A501BF" w:rsidRPr="007B4C6C" w:rsidRDefault="00A501BF" w:rsidP="00A501BF">
            <w:pPr>
              <w:spacing w:after="60"/>
              <w:rPr>
                <w:rFonts w:ascii="Times New Roman" w:hAnsi="Times New Roman"/>
              </w:rPr>
            </w:pPr>
            <w:r w:rsidRPr="007B4C6C">
              <w:rPr>
                <w:rFonts w:ascii="Times New Roman" w:hAnsi="Times New Roman"/>
              </w:rPr>
              <w:t>N &gt; 0.25</w:t>
            </w:r>
          </w:p>
        </w:tc>
        <w:tc>
          <w:tcPr>
            <w:tcW w:w="4665" w:type="dxa"/>
          </w:tcPr>
          <w:p w14:paraId="2CD240BE" w14:textId="77777777" w:rsidR="00A501BF" w:rsidRPr="007B4C6C" w:rsidRDefault="00A501BF" w:rsidP="00A501BF">
            <w:pPr>
              <w:spacing w:after="60"/>
              <w:rPr>
                <w:rFonts w:ascii="Times New Roman" w:hAnsi="Times New Roman"/>
              </w:rPr>
            </w:pPr>
            <w:r w:rsidRPr="007B4C6C">
              <w:rPr>
                <w:rFonts w:ascii="Times New Roman" w:hAnsi="Times New Roman"/>
              </w:rPr>
              <w:t>0.005</w:t>
            </w:r>
          </w:p>
        </w:tc>
      </w:tr>
    </w:tbl>
    <w:p w14:paraId="4C95DB53" w14:textId="016A90F8" w:rsidR="00A501BF" w:rsidRPr="007B4C6C" w:rsidRDefault="00A501BF" w:rsidP="00FD377E">
      <w:pPr>
        <w:pStyle w:val="ListParagraph"/>
      </w:pPr>
      <w:bookmarkStart w:id="106" w:name="_Hlk523234566"/>
      <w:bookmarkEnd w:id="105"/>
      <w:r w:rsidRPr="007B4C6C">
        <w:t>Where N = the nitrogen content of the fuel (percent by weight).</w:t>
      </w:r>
    </w:p>
    <w:p w14:paraId="40634CF1" w14:textId="483297E2" w:rsidR="00D122E6" w:rsidRPr="007B4C6C" w:rsidRDefault="00D122E6" w:rsidP="00D122E6">
      <w:pPr>
        <w:spacing w:after="120"/>
        <w:ind w:left="720" w:hanging="360"/>
      </w:pPr>
      <w:bookmarkStart w:id="107" w:name="_Hlk523234571"/>
      <w:bookmarkEnd w:id="106"/>
      <w:r w:rsidRPr="007B4C6C">
        <w:t>[40 CFR 60.332(a)(1)</w:t>
      </w:r>
      <w:r w:rsidR="00A501BF" w:rsidRPr="007B4C6C">
        <w:t xml:space="preserve">, (3), </w:t>
      </w:r>
      <w:r w:rsidRPr="007B4C6C">
        <w:t>(4) &amp; (b)]</w:t>
      </w:r>
    </w:p>
    <w:p w14:paraId="5FF0C8A8" w14:textId="77777777" w:rsidR="00D122E6" w:rsidRPr="007B4C6C" w:rsidRDefault="00D122E6" w:rsidP="00D122E6">
      <w:pPr>
        <w:numPr>
          <w:ilvl w:val="0"/>
          <w:numId w:val="5"/>
        </w:numPr>
      </w:pPr>
      <w:bookmarkStart w:id="108" w:name="_Hlk523234606"/>
      <w:bookmarkEnd w:id="107"/>
      <w:r w:rsidRPr="007B4C6C">
        <w:rPr>
          <w:u w:val="single"/>
        </w:rPr>
        <w:t>NSPS SO</w:t>
      </w:r>
      <w:r w:rsidRPr="007B4C6C">
        <w:rPr>
          <w:u w:val="single"/>
          <w:vertAlign w:val="subscript"/>
        </w:rPr>
        <w:t>2</w:t>
      </w:r>
      <w:r w:rsidRPr="007B4C6C">
        <w:rPr>
          <w:u w:val="single"/>
        </w:rPr>
        <w:t xml:space="preserve"> Emissions Limits</w:t>
      </w:r>
      <w:r w:rsidRPr="007B4C6C">
        <w:t>.  The permittee shall comply with either of the following conditions:</w:t>
      </w:r>
    </w:p>
    <w:p w14:paraId="334ECD4B" w14:textId="77777777" w:rsidR="00D122E6" w:rsidRPr="007B4C6C" w:rsidRDefault="00D122E6" w:rsidP="00D122E6">
      <w:pPr>
        <w:pStyle w:val="ListParagraph"/>
        <w:numPr>
          <w:ilvl w:val="0"/>
          <w:numId w:val="135"/>
        </w:numPr>
        <w:tabs>
          <w:tab w:val="clear" w:pos="1836"/>
        </w:tabs>
        <w:spacing w:after="120"/>
        <w:ind w:left="720" w:hanging="360"/>
      </w:pPr>
      <w:r w:rsidRPr="007B4C6C">
        <w:t>No permittee shall cause to be discharged into the atmosphere from any stationary gas turbine any gases which contain SO</w:t>
      </w:r>
      <w:r w:rsidRPr="007B4C6C">
        <w:rPr>
          <w:vertAlign w:val="subscript"/>
        </w:rPr>
        <w:t>2</w:t>
      </w:r>
      <w:r w:rsidRPr="007B4C6C">
        <w:t xml:space="preserve"> in excess of 0.015% by volume at 15% O</w:t>
      </w:r>
      <w:r w:rsidRPr="007B4C6C">
        <w:rPr>
          <w:vertAlign w:val="subscript"/>
        </w:rPr>
        <w:t>2</w:t>
      </w:r>
      <w:r w:rsidRPr="007B4C6C">
        <w:t xml:space="preserve"> and on a dry basis.</w:t>
      </w:r>
    </w:p>
    <w:p w14:paraId="71267E2D" w14:textId="3DF5565F" w:rsidR="00D122E6" w:rsidRPr="007B4C6C" w:rsidRDefault="00D122E6" w:rsidP="00D122E6">
      <w:pPr>
        <w:pStyle w:val="ListParagraph"/>
        <w:numPr>
          <w:ilvl w:val="0"/>
          <w:numId w:val="135"/>
        </w:numPr>
        <w:tabs>
          <w:tab w:val="clear" w:pos="1836"/>
        </w:tabs>
        <w:spacing w:after="120"/>
        <w:ind w:left="720" w:hanging="360"/>
      </w:pPr>
      <w:r w:rsidRPr="007B4C6C">
        <w:t>No owner or operator subject to the provisions of this subpart shall burn in any stationary gas turbine any fuel which contains total sulfur in excess of 0.8 percent by weight (8000 ppmw).</w:t>
      </w:r>
    </w:p>
    <w:p w14:paraId="07FF48AA" w14:textId="39CC600D" w:rsidR="00D122E6" w:rsidRPr="007B4C6C" w:rsidRDefault="00D122E6" w:rsidP="00D122E6">
      <w:pPr>
        <w:pStyle w:val="ListParagraph"/>
        <w:spacing w:after="120"/>
        <w:ind w:left="360"/>
      </w:pPr>
      <w:r w:rsidRPr="007B4C6C">
        <w:t>[40 CFR 60.333]</w:t>
      </w:r>
    </w:p>
    <w:p w14:paraId="0146989A" w14:textId="127D9472" w:rsidR="004D310F" w:rsidRPr="007B4C6C" w:rsidRDefault="004D310F" w:rsidP="007B4C6C">
      <w:pPr>
        <w:numPr>
          <w:ilvl w:val="0"/>
          <w:numId w:val="5"/>
        </w:numPr>
        <w:tabs>
          <w:tab w:val="left" w:pos="720"/>
        </w:tabs>
        <w:spacing w:after="120"/>
        <w:rPr>
          <w:szCs w:val="22"/>
        </w:rPr>
      </w:pPr>
      <w:bookmarkStart w:id="109" w:name="_Hlk520207072"/>
      <w:bookmarkEnd w:id="108"/>
      <w:bookmarkEnd w:id="99"/>
      <w:bookmarkEnd w:id="100"/>
      <w:r w:rsidRPr="007B4C6C">
        <w:rPr>
          <w:szCs w:val="22"/>
          <w:u w:val="single"/>
        </w:rPr>
        <w:t>Visible Emissions</w:t>
      </w:r>
      <w:r w:rsidRPr="007B4C6C">
        <w:rPr>
          <w:szCs w:val="22"/>
        </w:rPr>
        <w:t xml:space="preserve">.  </w:t>
      </w:r>
      <w:bookmarkStart w:id="110" w:name="_Hlk524419008"/>
      <w:r w:rsidR="00FA7BD0" w:rsidRPr="007B4C6C">
        <w:rPr>
          <w:szCs w:val="22"/>
        </w:rPr>
        <w:t xml:space="preserve">As determined by </w:t>
      </w:r>
      <w:r w:rsidR="00ED268B" w:rsidRPr="007B4C6C">
        <w:rPr>
          <w:szCs w:val="22"/>
        </w:rPr>
        <w:t xml:space="preserve">opacity </w:t>
      </w:r>
      <w:r w:rsidR="00FA7BD0" w:rsidRPr="007B4C6C">
        <w:rPr>
          <w:szCs w:val="22"/>
        </w:rPr>
        <w:t xml:space="preserve">test, VE </w:t>
      </w:r>
      <w:bookmarkEnd w:id="110"/>
      <w:r w:rsidRPr="007B4C6C">
        <w:rPr>
          <w:szCs w:val="22"/>
        </w:rPr>
        <w:t>shall neither exceed 10% opacity while burning natural gas, nor 20% opacity while burning distillate oil.  [</w:t>
      </w:r>
      <w:r w:rsidR="00FA7BD0" w:rsidRPr="007B4C6C">
        <w:rPr>
          <w:szCs w:val="22"/>
        </w:rPr>
        <w:t xml:space="preserve">Permit No. </w:t>
      </w:r>
      <w:r w:rsidRPr="007B4C6C">
        <w:rPr>
          <w:szCs w:val="22"/>
        </w:rPr>
        <w:t>PSD-FL-146, Specific Condition No. 8.]</w:t>
      </w:r>
    </w:p>
    <w:p w14:paraId="7D865FBB" w14:textId="5B172A04" w:rsidR="00B82012" w:rsidRPr="007B4C6C" w:rsidRDefault="00B82012" w:rsidP="007B4C6C">
      <w:pPr>
        <w:spacing w:after="120"/>
        <w:ind w:left="360"/>
        <w:rPr>
          <w:strike/>
        </w:rPr>
      </w:pPr>
      <w:r w:rsidRPr="007B4C6C">
        <w:rPr>
          <w:i/>
        </w:rPr>
        <w:t xml:space="preserve">{Permitting Note:  These VE standards apply </w:t>
      </w:r>
      <w:proofErr w:type="gramStart"/>
      <w:r w:rsidRPr="007B4C6C">
        <w:rPr>
          <w:i/>
        </w:rPr>
        <w:t>at all times</w:t>
      </w:r>
      <w:proofErr w:type="gramEnd"/>
      <w:r w:rsidRPr="007B4C6C">
        <w:rPr>
          <w:i/>
        </w:rPr>
        <w:t xml:space="preserve"> except during periods of startup, shutdown or malfunction in accordance with Rule 62-210.700(1), F.A.C. (see Specific Condition </w:t>
      </w:r>
      <w:r w:rsidRPr="007B4C6C">
        <w:rPr>
          <w:b/>
          <w:i/>
        </w:rPr>
        <w:fldChar w:fldCharType="begin"/>
      </w:r>
      <w:r w:rsidRPr="007B4C6C">
        <w:rPr>
          <w:b/>
          <w:i/>
        </w:rPr>
        <w:instrText xml:space="preserve"> REF _Ref523296015 \r \h  \* MERGEFORMAT </w:instrText>
      </w:r>
      <w:r w:rsidRPr="007B4C6C">
        <w:rPr>
          <w:b/>
          <w:i/>
        </w:rPr>
      </w:r>
      <w:r w:rsidRPr="007B4C6C">
        <w:rPr>
          <w:b/>
          <w:i/>
        </w:rPr>
        <w:fldChar w:fldCharType="separate"/>
      </w:r>
      <w:r w:rsidR="00D31800">
        <w:rPr>
          <w:b/>
          <w:i/>
        </w:rPr>
        <w:t>B.10</w:t>
      </w:r>
      <w:r w:rsidRPr="007B4C6C">
        <w:rPr>
          <w:b/>
          <w:i/>
        </w:rPr>
        <w:fldChar w:fldCharType="end"/>
      </w:r>
      <w:r w:rsidRPr="007B4C6C">
        <w:rPr>
          <w:i/>
        </w:rPr>
        <w:t>)}</w:t>
      </w:r>
    </w:p>
    <w:bookmarkEnd w:id="109"/>
    <w:p w14:paraId="7B34CC94" w14:textId="39A4F82B" w:rsidR="009E2407" w:rsidRDefault="009E2407" w:rsidP="009E2407">
      <w:pPr>
        <w:spacing w:after="120"/>
        <w:rPr>
          <w:b/>
          <w:u w:val="single"/>
        </w:rPr>
      </w:pPr>
      <w:r>
        <w:rPr>
          <w:b/>
          <w:u w:val="single"/>
        </w:rPr>
        <w:t>Excess Emissions</w:t>
      </w:r>
    </w:p>
    <w:p w14:paraId="61B0F0C1" w14:textId="77777777" w:rsidR="009E2407" w:rsidRPr="00EF0590" w:rsidRDefault="009E2407" w:rsidP="009E2407">
      <w:pPr>
        <w:tabs>
          <w:tab w:val="left" w:pos="1080"/>
          <w:tab w:val="left" w:pos="1440"/>
        </w:tabs>
        <w:spacing w:after="120"/>
      </w:pPr>
      <w:r w:rsidRPr="00C66B90">
        <w:rPr>
          <w:szCs w:val="22"/>
        </w:rPr>
        <w:t>Rule 62-210.700</w:t>
      </w:r>
      <w:r>
        <w:rPr>
          <w:szCs w:val="22"/>
        </w:rPr>
        <w:t xml:space="preserve"> (</w:t>
      </w:r>
      <w:r w:rsidRPr="00C66B90">
        <w:rPr>
          <w:szCs w:val="22"/>
        </w:rPr>
        <w:t>Excess Emissions</w:t>
      </w:r>
      <w:r>
        <w:rPr>
          <w:szCs w:val="22"/>
        </w:rPr>
        <w:t>)</w:t>
      </w:r>
      <w:r w:rsidRPr="00C66B90">
        <w:rPr>
          <w:szCs w:val="22"/>
        </w:rPr>
        <w:t>, F.A.C. cannot vary any requirement of a</w:t>
      </w:r>
      <w:r>
        <w:rPr>
          <w:szCs w:val="22"/>
        </w:rPr>
        <w:t>n</w:t>
      </w:r>
      <w:r w:rsidRPr="00C66B90">
        <w:rPr>
          <w:szCs w:val="22"/>
        </w:rPr>
        <w:t xml:space="preserve"> NSPS, NESHAP </w:t>
      </w:r>
      <w:r>
        <w:rPr>
          <w:szCs w:val="22"/>
        </w:rPr>
        <w:t>or Acid Rain program provision.</w:t>
      </w:r>
    </w:p>
    <w:p w14:paraId="3738C837" w14:textId="5FE3F897" w:rsidR="0024021F" w:rsidRPr="007B4C6C" w:rsidRDefault="0024021F" w:rsidP="00C638F9">
      <w:pPr>
        <w:numPr>
          <w:ilvl w:val="0"/>
          <w:numId w:val="5"/>
        </w:numPr>
        <w:spacing w:after="120"/>
        <w:rPr>
          <w:szCs w:val="22"/>
          <w:u w:val="double"/>
        </w:rPr>
      </w:pPr>
      <w:bookmarkStart w:id="111" w:name="_Ref523296015"/>
      <w:bookmarkStart w:id="112" w:name="_Hlk520367897"/>
      <w:r w:rsidRPr="007B4C6C">
        <w:rPr>
          <w:szCs w:val="22"/>
          <w:u w:val="single"/>
        </w:rPr>
        <w:t>Excess Emissions Allowed</w:t>
      </w:r>
      <w:r w:rsidRPr="007B4C6C">
        <w:rPr>
          <w:szCs w:val="22"/>
        </w:rPr>
        <w:t xml:space="preserve">.  Except as provided in Specific Condition </w:t>
      </w:r>
      <w:r w:rsidRPr="007B4C6C">
        <w:rPr>
          <w:b/>
          <w:szCs w:val="22"/>
        </w:rPr>
        <w:fldChar w:fldCharType="begin"/>
      </w:r>
      <w:r w:rsidRPr="007B4C6C">
        <w:rPr>
          <w:b/>
          <w:szCs w:val="22"/>
        </w:rPr>
        <w:instrText xml:space="preserve"> REF _Ref509998214 \r \h  \* MERGEFORMAT </w:instrText>
      </w:r>
      <w:r w:rsidRPr="007B4C6C">
        <w:rPr>
          <w:b/>
          <w:szCs w:val="22"/>
        </w:rPr>
      </w:r>
      <w:r w:rsidRPr="007B4C6C">
        <w:rPr>
          <w:b/>
          <w:szCs w:val="22"/>
        </w:rPr>
        <w:fldChar w:fldCharType="separate"/>
      </w:r>
      <w:r w:rsidR="00D31800">
        <w:rPr>
          <w:b/>
          <w:szCs w:val="22"/>
        </w:rPr>
        <w:t>B.12</w:t>
      </w:r>
      <w:r w:rsidRPr="007B4C6C">
        <w:rPr>
          <w:b/>
          <w:szCs w:val="22"/>
        </w:rPr>
        <w:fldChar w:fldCharType="end"/>
      </w:r>
      <w:r w:rsidRPr="007B4C6C">
        <w:rPr>
          <w:szCs w:val="22"/>
        </w:rPr>
        <w:t>, excess emissions resulting from startup, shutdown or malfunction of any emissions unit shall be permitted provided that best operational practices to minimize emissions are adhered to and the duration of excess emissions shall be minimized but in no case exceed two hours in any 24 hour period unless specifically authorized by the Department for longer du</w:t>
      </w:r>
      <w:r w:rsidRPr="007B4C6C">
        <w:t>ration.  [Rule 62-210.700(1), F.A.C.]</w:t>
      </w:r>
      <w:bookmarkEnd w:id="111"/>
    </w:p>
    <w:bookmarkEnd w:id="112"/>
    <w:p w14:paraId="08D154DA" w14:textId="595BF0FC" w:rsidR="009E2407" w:rsidRPr="00FD5BD4" w:rsidRDefault="00FD5BD4" w:rsidP="00C638F9">
      <w:pPr>
        <w:numPr>
          <w:ilvl w:val="0"/>
          <w:numId w:val="5"/>
        </w:numPr>
        <w:spacing w:after="120"/>
        <w:rPr>
          <w:szCs w:val="22"/>
        </w:rPr>
      </w:pPr>
      <w:r>
        <w:rPr>
          <w:u w:val="single"/>
        </w:rPr>
        <w:t>Excess Emissions Prohibited</w:t>
      </w:r>
      <w:r>
        <w:t xml:space="preserve">.  </w:t>
      </w:r>
      <w:r w:rsidRPr="00FD5BD4">
        <w:rPr>
          <w:noProof/>
          <w:color w:val="000000"/>
          <w:szCs w:val="22"/>
        </w:rPr>
        <w:t>Excess emissions that are caused entirely or in part by poor maintenance, poor operation, or any other equipment or process failure that may reasonably be prevented during startup, shutdown or malfunction shall be prohibited.</w:t>
      </w:r>
      <w:r>
        <w:rPr>
          <w:noProof/>
          <w:color w:val="000000"/>
          <w:szCs w:val="22"/>
        </w:rPr>
        <w:t xml:space="preserve">  [Rule 62-210.700(1), F.A.C.]</w:t>
      </w:r>
    </w:p>
    <w:p w14:paraId="2A29CCE5" w14:textId="50942018" w:rsidR="00FD5BD4" w:rsidRDefault="00FD5BD4" w:rsidP="00C638F9">
      <w:pPr>
        <w:numPr>
          <w:ilvl w:val="0"/>
          <w:numId w:val="5"/>
        </w:numPr>
        <w:rPr>
          <w:szCs w:val="22"/>
        </w:rPr>
      </w:pPr>
      <w:bookmarkStart w:id="113" w:name="_Ref509998214"/>
      <w:r w:rsidRPr="00C16FF6">
        <w:rPr>
          <w:szCs w:val="22"/>
          <w:u w:val="single"/>
        </w:rPr>
        <w:t>Excess Emissions Allowed</w:t>
      </w:r>
      <w:r w:rsidRPr="00C16FF6">
        <w:rPr>
          <w:szCs w:val="22"/>
        </w:rPr>
        <w:t xml:space="preserve">.  </w:t>
      </w:r>
      <w:r w:rsidRPr="00C16FF6">
        <w:t>As specified in this condition, e</w:t>
      </w:r>
      <w:r w:rsidRPr="00C16FF6">
        <w:rPr>
          <w:szCs w:val="22"/>
        </w:rPr>
        <w:t>xcess emissions resulting from startup, shutdown, fuel switches, and documented malfunctions are allowed provided that operators employ the best operational practices to minimize the amount and duration of emissions during such incidents.  For each gas turbine/HRSG system, excess emissions of NO</w:t>
      </w:r>
      <w:r w:rsidRPr="00C16FF6">
        <w:rPr>
          <w:szCs w:val="22"/>
          <w:vertAlign w:val="subscript"/>
        </w:rPr>
        <w:t>X</w:t>
      </w:r>
      <w:r w:rsidRPr="00C16FF6">
        <w:rPr>
          <w:szCs w:val="22"/>
        </w:rPr>
        <w:t xml:space="preserve"> from startup, shutdown, or malfunction shall be excluded from the CEMS data in any 24-hour period for the following conditions (these conditions are considered separate events and each event may occur independently within any 24-hour period):</w:t>
      </w:r>
      <w:bookmarkEnd w:id="113"/>
    </w:p>
    <w:p w14:paraId="5DA0236A" w14:textId="776A2238" w:rsidR="00B934F5" w:rsidRDefault="00B934F5" w:rsidP="00061DE9">
      <w:pPr>
        <w:pStyle w:val="ListParagraph"/>
        <w:numPr>
          <w:ilvl w:val="0"/>
          <w:numId w:val="6"/>
        </w:numPr>
        <w:spacing w:after="120"/>
        <w:contextualSpacing w:val="0"/>
        <w:rPr>
          <w:szCs w:val="22"/>
        </w:rPr>
      </w:pPr>
      <w:r w:rsidRPr="00C16FF6">
        <w:rPr>
          <w:i/>
          <w:iCs/>
          <w:szCs w:val="22"/>
        </w:rPr>
        <w:t>Steam Turbine Cold Startup.</w:t>
      </w:r>
      <w:r w:rsidRPr="00C16FF6">
        <w:rPr>
          <w:iCs/>
          <w:szCs w:val="22"/>
        </w:rPr>
        <w:t xml:space="preserve"> </w:t>
      </w:r>
      <w:r w:rsidRPr="00C16FF6">
        <w:rPr>
          <w:i/>
          <w:iCs/>
          <w:szCs w:val="22"/>
        </w:rPr>
        <w:t xml:space="preserve"> </w:t>
      </w:r>
      <w:r w:rsidRPr="00C16FF6">
        <w:rPr>
          <w:szCs w:val="22"/>
        </w:rPr>
        <w:t>For cold startup of the steam turbine system, excluded emissions from both gas turbine/HRSG systems in the 2-on-1 combined cycle system, combined, shall not exceed eight hours in any 24-hour period.  A cold “startup of the steam turbine” is defined as startup of the 2-on-1 combined cycle system following a shutdown of the steam turbine lasting at least 48 hours.</w:t>
      </w:r>
    </w:p>
    <w:p w14:paraId="3DAFA466" w14:textId="5260D159" w:rsidR="00FA5992" w:rsidRPr="00B934F5" w:rsidRDefault="00FA5992" w:rsidP="00FA5992">
      <w:pPr>
        <w:pStyle w:val="ListParagraph"/>
        <w:spacing w:after="120"/>
        <w:contextualSpacing w:val="0"/>
        <w:rPr>
          <w:szCs w:val="22"/>
        </w:rPr>
      </w:pPr>
      <w:r w:rsidRPr="00C16FF6">
        <w:rPr>
          <w:i/>
          <w:iCs/>
          <w:szCs w:val="22"/>
        </w:rPr>
        <w:t>{Permitting Note:  During a cold startup of the steam turbine, each gas turbine/HRSG system in the 2-on-1 combined cycle system is sequentially brought on line at low load to gradually increase the temperature within the steam-electrical turbine in order to prevent thermal metal fatigue.  Note that shutdowns and documented malfunctions are separately regulated in accordance with the requirements of this condition.}</w:t>
      </w:r>
    </w:p>
    <w:p w14:paraId="5FD8921C" w14:textId="1EF67346" w:rsidR="00004B5C" w:rsidRPr="00FA5992" w:rsidRDefault="00FA5992" w:rsidP="00061DE9">
      <w:pPr>
        <w:pStyle w:val="ListParagraph"/>
        <w:numPr>
          <w:ilvl w:val="0"/>
          <w:numId w:val="6"/>
        </w:numPr>
        <w:contextualSpacing w:val="0"/>
      </w:pPr>
      <w:r w:rsidRPr="00C16FF6">
        <w:rPr>
          <w:i/>
          <w:iCs/>
          <w:szCs w:val="22"/>
        </w:rPr>
        <w:t xml:space="preserve">Gas Turbine/HRSG System Cold Startup.  </w:t>
      </w:r>
      <w:r w:rsidRPr="00C16FF6">
        <w:rPr>
          <w:szCs w:val="22"/>
        </w:rPr>
        <w:t>For cold startup of an individual gas turbine/HRSG system, excluded emissions shall not exceed four hours in any 24-hour period.  “Cold startup of a gas turbine/HRSG system” is defined as a startup after the pressure in the high-pressure (HP) steam drum falls below 450 pounds per square inch gauge (psig) for at least a one-hour period.</w:t>
      </w:r>
    </w:p>
    <w:p w14:paraId="6FB10C49" w14:textId="1C019320" w:rsidR="00FA5992" w:rsidRPr="00FA5992" w:rsidRDefault="00FA5992" w:rsidP="00061DE9">
      <w:pPr>
        <w:pStyle w:val="ListParagraph"/>
        <w:numPr>
          <w:ilvl w:val="0"/>
          <w:numId w:val="6"/>
        </w:numPr>
        <w:contextualSpacing w:val="0"/>
      </w:pPr>
      <w:r w:rsidRPr="00C16FF6">
        <w:rPr>
          <w:i/>
          <w:iCs/>
          <w:szCs w:val="22"/>
        </w:rPr>
        <w:t xml:space="preserve">Gas Turbine/HRSG System Warm Startup.  </w:t>
      </w:r>
      <w:r w:rsidRPr="00C16FF6">
        <w:rPr>
          <w:szCs w:val="22"/>
        </w:rPr>
        <w:t>For warm startup of an individual gas turbine/HRSG system, excluded emissions shall not exceed two hours in any 24-hour (with the additional provision of a limit of 2 warm startup periods per 24 hours per gas turbine/HRSG system, in which case excluded emissions shall not exceed four hours total for the 2-on-1 combined cycle system).  “Warm startup of a gas turbine/HRSG system” is defined as a startup after the pressure in the high-pressure (HP) steam drum is above 450 psig.</w:t>
      </w:r>
    </w:p>
    <w:p w14:paraId="0375F7CA" w14:textId="5295A9DB" w:rsidR="00FA5992" w:rsidRDefault="00FA5992" w:rsidP="00061DE9">
      <w:pPr>
        <w:pStyle w:val="ListParagraph"/>
        <w:numPr>
          <w:ilvl w:val="0"/>
          <w:numId w:val="6"/>
        </w:numPr>
        <w:contextualSpacing w:val="0"/>
      </w:pPr>
      <w:r w:rsidRPr="00FA5992">
        <w:rPr>
          <w:i/>
          <w:iCs/>
        </w:rPr>
        <w:t xml:space="preserve">Gas Turbine/HRSG System Shutdown.  </w:t>
      </w:r>
      <w:r w:rsidRPr="00FA5992">
        <w:t>For shutdown of the gas turbine/HRSG operation, excluded emissions from any individual gas turbine/HRSG system shall not exceed two hours in any 24-hour period.</w:t>
      </w:r>
    </w:p>
    <w:p w14:paraId="52A21A23" w14:textId="78AA19F0" w:rsidR="00FA5992" w:rsidRPr="00FA5992" w:rsidRDefault="00FA5992" w:rsidP="00061DE9">
      <w:pPr>
        <w:pStyle w:val="ListParagraph"/>
        <w:numPr>
          <w:ilvl w:val="0"/>
          <w:numId w:val="6"/>
        </w:numPr>
        <w:contextualSpacing w:val="0"/>
      </w:pPr>
      <w:r w:rsidRPr="00C16FF6">
        <w:rPr>
          <w:i/>
          <w:iCs/>
          <w:szCs w:val="22"/>
        </w:rPr>
        <w:t>Shutdown Combined Cycle Operation</w:t>
      </w:r>
      <w:r w:rsidRPr="00C16FF6">
        <w:rPr>
          <w:szCs w:val="22"/>
        </w:rPr>
        <w:t>.  For shutdown of the entire 2-on-1 combined cycle operation, excluded emissions from both gas turbine/HRSG systems, combined, shall not exceed three hours in any 24-hour period.</w:t>
      </w:r>
    </w:p>
    <w:p w14:paraId="30B20546" w14:textId="2D7CBC49" w:rsidR="00FA5992" w:rsidRPr="00FA5992" w:rsidRDefault="00FA5992" w:rsidP="00061DE9">
      <w:pPr>
        <w:pStyle w:val="ListParagraph"/>
        <w:numPr>
          <w:ilvl w:val="0"/>
          <w:numId w:val="6"/>
        </w:numPr>
        <w:contextualSpacing w:val="0"/>
      </w:pPr>
      <w:r w:rsidRPr="00C16FF6">
        <w:rPr>
          <w:i/>
          <w:iCs/>
          <w:szCs w:val="22"/>
        </w:rPr>
        <w:t>Fuel Switching</w:t>
      </w:r>
      <w:r w:rsidRPr="00C16FF6">
        <w:rPr>
          <w:szCs w:val="22"/>
        </w:rPr>
        <w:t>.  For fuel switching, excluded emissions shall not exceed two hours in any 24-hour period for each fuel switch and no more than four hours in any 24-hour period for any gas turbine/HRSG system.</w:t>
      </w:r>
    </w:p>
    <w:p w14:paraId="25500979" w14:textId="7117AC40" w:rsidR="00FA5992" w:rsidRDefault="00FA5992" w:rsidP="00061DE9">
      <w:pPr>
        <w:pStyle w:val="ListParagraph"/>
        <w:numPr>
          <w:ilvl w:val="0"/>
          <w:numId w:val="6"/>
        </w:numPr>
        <w:contextualSpacing w:val="0"/>
      </w:pPr>
      <w:r w:rsidRPr="00FA5992">
        <w:rPr>
          <w:i/>
          <w:iCs/>
        </w:rPr>
        <w:t xml:space="preserve">Documented Malfunction. </w:t>
      </w:r>
      <w:r w:rsidRPr="00FA5992">
        <w:rPr>
          <w:iCs/>
        </w:rPr>
        <w:t xml:space="preserve"> </w:t>
      </w:r>
      <w:r w:rsidRPr="00FA5992">
        <w:t>For each gas turbine/HRSG system, excess emissions of NO</w:t>
      </w:r>
      <w:r w:rsidRPr="00FA5992">
        <w:rPr>
          <w:vertAlign w:val="subscript"/>
        </w:rPr>
        <w:t>X</w:t>
      </w:r>
      <w:r w:rsidRPr="00FA5992">
        <w:t xml:space="preserve"> resulting from documented malfunctions shall not exceed two hours in any 24-hour period.  A "documented malfunction" means a malfunction that is documented within one working day of detection by contacting the Compliance Authority by telephone, facsimile transmittal, or electronic mail.</w:t>
      </w:r>
    </w:p>
    <w:p w14:paraId="343805E4" w14:textId="6D6C2C3A" w:rsidR="00FA5992" w:rsidRPr="007B4C6C" w:rsidRDefault="00FA5992" w:rsidP="00FA5992">
      <w:pPr>
        <w:pStyle w:val="ListParagraph"/>
        <w:ind w:left="360"/>
        <w:contextualSpacing w:val="0"/>
      </w:pPr>
      <w:r w:rsidRPr="007B4C6C">
        <w:rPr>
          <w:szCs w:val="22"/>
        </w:rPr>
        <w:t>As authorized by Rule 62-210.700(</w:t>
      </w:r>
      <w:r w:rsidR="008A50DB" w:rsidRPr="007B4C6C">
        <w:rPr>
          <w:szCs w:val="22"/>
        </w:rPr>
        <w:t>4</w:t>
      </w:r>
      <w:r w:rsidRPr="007B4C6C">
        <w:rPr>
          <w:szCs w:val="22"/>
        </w:rPr>
        <w:t>), F.A.C., the above conditions allow excess emissions only for specifically defined periods of startup, shutdown, and documented malfunction of the gas turbines.</w:t>
      </w:r>
    </w:p>
    <w:p w14:paraId="1EAADCD1" w14:textId="65B49765" w:rsidR="00FA5992" w:rsidRDefault="00FA5992" w:rsidP="00FA5992">
      <w:pPr>
        <w:pStyle w:val="ListParagraph"/>
        <w:spacing w:after="120"/>
        <w:ind w:left="360"/>
        <w:contextualSpacing w:val="0"/>
        <w:rPr>
          <w:szCs w:val="22"/>
        </w:rPr>
      </w:pPr>
      <w:r w:rsidRPr="00C16FF6">
        <w:rPr>
          <w:szCs w:val="22"/>
        </w:rPr>
        <w:t>[Rules 62-212.400(BACT Determination) &amp; 62-210.700, F.A.C.</w:t>
      </w:r>
      <w:r w:rsidR="008A50DB">
        <w:rPr>
          <w:szCs w:val="22"/>
        </w:rPr>
        <w:t>;</w:t>
      </w:r>
      <w:r w:rsidRPr="00C16FF6">
        <w:rPr>
          <w:szCs w:val="22"/>
        </w:rPr>
        <w:t xml:space="preserve"> and</w:t>
      </w:r>
      <w:r w:rsidR="008A50DB">
        <w:rPr>
          <w:szCs w:val="22"/>
        </w:rPr>
        <w:t>,</w:t>
      </w:r>
      <w:r w:rsidRPr="00C16FF6">
        <w:rPr>
          <w:szCs w:val="22"/>
        </w:rPr>
        <w:t xml:space="preserve"> Permit No. 0850001-032-AC (PSD-FL-146H/PSD-FL-327F)]</w:t>
      </w:r>
    </w:p>
    <w:p w14:paraId="418380A2" w14:textId="4552C09F" w:rsidR="00FA5992" w:rsidRPr="00F50AA7" w:rsidRDefault="00FA5992" w:rsidP="00C638F9">
      <w:pPr>
        <w:numPr>
          <w:ilvl w:val="0"/>
          <w:numId w:val="5"/>
        </w:numPr>
        <w:spacing w:after="120"/>
      </w:pPr>
      <w:bookmarkStart w:id="114" w:name="_Ref520207796"/>
      <w:r w:rsidRPr="00C16FF6">
        <w:rPr>
          <w:szCs w:val="22"/>
          <w:u w:val="single"/>
        </w:rPr>
        <w:t>DLN Tuning/FSNL Testing</w:t>
      </w:r>
      <w:r w:rsidRPr="00C16FF6">
        <w:rPr>
          <w:szCs w:val="22"/>
        </w:rPr>
        <w:t>.  CEMS data collected during initial or other major DLN tuning sessions and during manufacturer required Full Speed No Load (FSNL) trip tests shall be excluded from the CEMS compliance demonstration provided the tuning session is performed in accordance with the manufacturer’s specifications.  A “major tuning session” would occur after a combustor change-out, a major repair or maintenance to a combustor, or other similar circumstances.  Prior to performing any major tuning session, the permittee shall provide the Compliance Authority with an advance notice of at least one working (business) day that details the activity and proposed tuning schedule.  The notice may be by telephone, facsimile transmittal, or electronic mail.  [Rules 62-4.160(2), 62-4.070(1) &amp; (3), F.A.C.; and, Permit No. 0850001-032-AC</w:t>
      </w:r>
      <w:r w:rsidR="00C8288E" w:rsidRPr="007B4C6C">
        <w:rPr>
          <w:szCs w:val="22"/>
        </w:rPr>
        <w:t>/</w:t>
      </w:r>
      <w:r w:rsidRPr="007B4C6C">
        <w:rPr>
          <w:szCs w:val="22"/>
        </w:rPr>
        <w:t>PSD</w:t>
      </w:r>
      <w:r w:rsidRPr="00C16FF6">
        <w:rPr>
          <w:szCs w:val="22"/>
        </w:rPr>
        <w:t xml:space="preserve">-FL-146H </w:t>
      </w:r>
      <w:r w:rsidR="00CD713F">
        <w:rPr>
          <w:szCs w:val="22"/>
        </w:rPr>
        <w:t>&amp;</w:t>
      </w:r>
      <w:r w:rsidRPr="00C16FF6">
        <w:rPr>
          <w:szCs w:val="22"/>
        </w:rPr>
        <w:t xml:space="preserve"> </w:t>
      </w:r>
      <w:r w:rsidR="00CD713F">
        <w:rPr>
          <w:szCs w:val="22"/>
        </w:rPr>
        <w:t>3</w:t>
      </w:r>
      <w:r w:rsidRPr="00C16FF6">
        <w:rPr>
          <w:szCs w:val="22"/>
        </w:rPr>
        <w:t>27F]</w:t>
      </w:r>
      <w:bookmarkEnd w:id="114"/>
    </w:p>
    <w:p w14:paraId="3C568A4D" w14:textId="6AAEE49B" w:rsidR="00F50AA7" w:rsidRPr="007B4C6C" w:rsidRDefault="00AD5C74" w:rsidP="00C638F9">
      <w:pPr>
        <w:numPr>
          <w:ilvl w:val="0"/>
          <w:numId w:val="5"/>
        </w:numPr>
        <w:spacing w:after="120"/>
        <w:rPr>
          <w:u w:val="double"/>
        </w:rPr>
      </w:pPr>
      <w:r w:rsidRPr="007B4C6C">
        <w:rPr>
          <w:u w:val="single"/>
        </w:rPr>
        <w:t>NSPS Excess NO</w:t>
      </w:r>
      <w:r w:rsidRPr="007B4C6C">
        <w:rPr>
          <w:u w:val="single"/>
          <w:vertAlign w:val="subscript"/>
        </w:rPr>
        <w:t>X</w:t>
      </w:r>
      <w:r w:rsidRPr="007B4C6C">
        <w:rPr>
          <w:u w:val="single"/>
        </w:rPr>
        <w:t xml:space="preserve"> Emissions Identification</w:t>
      </w:r>
      <w:r w:rsidRPr="007B4C6C">
        <w:t>.  For the purpose of demonstrating compliance with the NSPS NO</w:t>
      </w:r>
      <w:r w:rsidRPr="007B4C6C">
        <w:rPr>
          <w:vertAlign w:val="subscript"/>
        </w:rPr>
        <w:t>X</w:t>
      </w:r>
      <w:r w:rsidRPr="007B4C6C">
        <w:t xml:space="preserve"> </w:t>
      </w:r>
      <w:r w:rsidR="00EB3121" w:rsidRPr="007B4C6C">
        <w:t>monitoring requirements</w:t>
      </w:r>
      <w:r w:rsidRPr="007B4C6C">
        <w:t xml:space="preserve"> in 40 CFR 60</w:t>
      </w:r>
      <w:r w:rsidR="00EB3121" w:rsidRPr="007B4C6C">
        <w:t>.334</w:t>
      </w:r>
      <w:r w:rsidRPr="007B4C6C">
        <w:t xml:space="preserve"> (see</w:t>
      </w:r>
      <w:r w:rsidR="00EB3121" w:rsidRPr="007B4C6C">
        <w:t xml:space="preserve"> Appendix NSPS Subpart GG</w:t>
      </w:r>
      <w:r w:rsidRPr="007B4C6C">
        <w:t>), the permittee may use a CEMS that meets the requirements of 40 CFR 75 and is continuing to meet the ongoing requirements of 40 CFR 75, except that the missing data substitution methodology provided for at 40 CFR 75, Subpart D, is not required for purposes of identifying excess emissions.  Instead, periods of missing CEMS data are to be reported as monitor downtime in the excess emissions and monitoring performance report required in 40 CFR 60.7(c)</w:t>
      </w:r>
      <w:r w:rsidR="000117A4" w:rsidRPr="007B4C6C">
        <w:t xml:space="preserve"> (see Appendix NSPS Subpart A)</w:t>
      </w:r>
      <w:r w:rsidRPr="007B4C6C">
        <w:t>.  [40 CFR 60.334(b)(3)(iii)]</w:t>
      </w:r>
    </w:p>
    <w:p w14:paraId="1EA83841" w14:textId="71895C01" w:rsidR="00CD713F" w:rsidRPr="00BB0791" w:rsidRDefault="00DE4F76" w:rsidP="00C638F9">
      <w:pPr>
        <w:numPr>
          <w:ilvl w:val="0"/>
          <w:numId w:val="5"/>
        </w:numPr>
        <w:spacing w:after="120"/>
        <w:rPr>
          <w:u w:val="double"/>
        </w:rPr>
      </w:pPr>
      <w:bookmarkStart w:id="115" w:name="_Ref512519632"/>
      <w:r w:rsidRPr="00BB0791">
        <w:rPr>
          <w:u w:val="single"/>
        </w:rPr>
        <w:t>NSPS Excess NO</w:t>
      </w:r>
      <w:r w:rsidRPr="00BB0791">
        <w:rPr>
          <w:u w:val="single"/>
          <w:vertAlign w:val="subscript"/>
        </w:rPr>
        <w:t>X</w:t>
      </w:r>
      <w:r w:rsidRPr="00BB0791">
        <w:rPr>
          <w:u w:val="single"/>
        </w:rPr>
        <w:t xml:space="preserve"> Emissions Definition</w:t>
      </w:r>
      <w:r w:rsidRPr="00BB0791">
        <w:t>.  An hour of excess emissions shall be any unit operating hour in which the 4-hour rolling average NO</w:t>
      </w:r>
      <w:r w:rsidRPr="00BB0791">
        <w:rPr>
          <w:vertAlign w:val="subscript"/>
        </w:rPr>
        <w:t>X</w:t>
      </w:r>
      <w:r w:rsidRPr="00BB0791">
        <w:t xml:space="preserve"> concentration exceeds the applicable emission limit in </w:t>
      </w:r>
      <w:r w:rsidR="003F1A2D" w:rsidRPr="00BB0791">
        <w:t>40 CFR 60.332(</w:t>
      </w:r>
      <w:r w:rsidR="00711FD5" w:rsidRPr="00BB0791">
        <w:t>a)(1) (see Specific Condition</w:t>
      </w:r>
      <w:r w:rsidR="00F84214">
        <w:t xml:space="preserve"> </w:t>
      </w:r>
      <w:r w:rsidR="00F84214" w:rsidRPr="00F84214">
        <w:rPr>
          <w:b/>
        </w:rPr>
        <w:fldChar w:fldCharType="begin"/>
      </w:r>
      <w:r w:rsidR="00F84214" w:rsidRPr="00F84214">
        <w:rPr>
          <w:b/>
        </w:rPr>
        <w:instrText xml:space="preserve"> REF _Hlk523234398 \r \h </w:instrText>
      </w:r>
      <w:r w:rsidR="00F84214">
        <w:rPr>
          <w:b/>
        </w:rPr>
        <w:instrText xml:space="preserve"> \* MERGEFORMAT </w:instrText>
      </w:r>
      <w:r w:rsidR="00F84214" w:rsidRPr="00F84214">
        <w:rPr>
          <w:b/>
        </w:rPr>
      </w:r>
      <w:r w:rsidR="00F84214" w:rsidRPr="00F84214">
        <w:rPr>
          <w:b/>
        </w:rPr>
        <w:fldChar w:fldCharType="separate"/>
      </w:r>
      <w:r w:rsidR="00D31800">
        <w:rPr>
          <w:b/>
        </w:rPr>
        <w:t>B.7</w:t>
      </w:r>
      <w:r w:rsidR="00F84214" w:rsidRPr="00F84214">
        <w:rPr>
          <w:b/>
        </w:rPr>
        <w:fldChar w:fldCharType="end"/>
      </w:r>
      <w:r w:rsidR="00711FD5" w:rsidRPr="00BB0791">
        <w:t>).  For the purposes of NSPS Subpart GG, a “4-hour rolling average NO</w:t>
      </w:r>
      <w:r w:rsidR="00711FD5" w:rsidRPr="00BB0791">
        <w:rPr>
          <w:vertAlign w:val="subscript"/>
        </w:rPr>
        <w:t>X</w:t>
      </w:r>
      <w:r w:rsidR="00711FD5" w:rsidRPr="00BB0791">
        <w:t xml:space="preserve"> concentration” is the arithmetic average of the average NO</w:t>
      </w:r>
      <w:r w:rsidR="00711FD5" w:rsidRPr="00BB0791">
        <w:rPr>
          <w:vertAlign w:val="subscript"/>
        </w:rPr>
        <w:t>X</w:t>
      </w:r>
      <w:r w:rsidR="00711FD5" w:rsidRPr="00BB0791">
        <w:t xml:space="preserve"> concentration measured by the CEMS for a given hour (corrected to 15% O</w:t>
      </w:r>
      <w:r w:rsidR="00711FD5" w:rsidRPr="00BB0791">
        <w:rPr>
          <w:vertAlign w:val="subscript"/>
        </w:rPr>
        <w:t>2</w:t>
      </w:r>
      <w:r w:rsidR="00711FD5" w:rsidRPr="00BB0791">
        <w:t xml:space="preserve"> and, if required under 40 CFR 60.335(b)(1), to ISO standard conditions) and the three unit operating hour average NO</w:t>
      </w:r>
      <w:r w:rsidR="00711FD5" w:rsidRPr="00BB0791">
        <w:rPr>
          <w:vertAlign w:val="subscript"/>
        </w:rPr>
        <w:t>X</w:t>
      </w:r>
      <w:r w:rsidR="00711FD5" w:rsidRPr="00BB0791">
        <w:t xml:space="preserve"> concentrations immediately preceding that unit operating hour.  [40 CFR 60.334(j)(1)(iii)(A)]</w:t>
      </w:r>
      <w:bookmarkEnd w:id="115"/>
    </w:p>
    <w:p w14:paraId="4344E848" w14:textId="5A7988E3" w:rsidR="00711FD5" w:rsidRPr="00BB0791" w:rsidRDefault="00711FD5" w:rsidP="00C638F9">
      <w:pPr>
        <w:numPr>
          <w:ilvl w:val="0"/>
          <w:numId w:val="5"/>
        </w:numPr>
        <w:spacing w:after="120"/>
        <w:rPr>
          <w:u w:val="double"/>
        </w:rPr>
      </w:pPr>
      <w:r w:rsidRPr="00BB0791">
        <w:rPr>
          <w:u w:val="single"/>
        </w:rPr>
        <w:t>NSPS Monitor Downtime Definition</w:t>
      </w:r>
      <w:r w:rsidRPr="00BB0791">
        <w:t>.  For the purpose of complying with NSPS Subpart GG, a period of monitor downtime shall be any unit operating hour in which sufficient data are not obtained to validate the hour, for either NO</w:t>
      </w:r>
      <w:r w:rsidRPr="00BB0791">
        <w:rPr>
          <w:vertAlign w:val="subscript"/>
        </w:rPr>
        <w:t>X</w:t>
      </w:r>
      <w:r w:rsidRPr="00BB0791">
        <w:t xml:space="preserve"> concentration or diluent (or both).  [40 CFR 60.334(j)(1)(iii)(B)]</w:t>
      </w:r>
    </w:p>
    <w:p w14:paraId="1CD54D00" w14:textId="0F29268C" w:rsidR="00761733" w:rsidRDefault="00761733" w:rsidP="00DD5BAA">
      <w:pPr>
        <w:spacing w:after="120"/>
      </w:pPr>
      <w:r>
        <w:rPr>
          <w:b/>
          <w:u w:val="single"/>
        </w:rPr>
        <w:t>Monitoring of Operations</w:t>
      </w:r>
    </w:p>
    <w:p w14:paraId="38B87C56" w14:textId="093AAD25" w:rsidR="00761733" w:rsidRPr="00B33281" w:rsidRDefault="00DD5BAA" w:rsidP="00C638F9">
      <w:pPr>
        <w:numPr>
          <w:ilvl w:val="0"/>
          <w:numId w:val="5"/>
        </w:numPr>
        <w:spacing w:after="120"/>
      </w:pPr>
      <w:r w:rsidRPr="00C16FF6">
        <w:rPr>
          <w:szCs w:val="22"/>
          <w:u w:val="single"/>
        </w:rPr>
        <w:t>Equipment Practices</w:t>
      </w:r>
      <w:r w:rsidRPr="00C16FF6">
        <w:rPr>
          <w:szCs w:val="22"/>
        </w:rPr>
        <w:t>.  At all times, including periods of startup, shutdown and malfunction, owners and operators shall, to the extent practicable, maintain and operate any affected facility including associated pollution control equipment in a manner consistent with good air pollution control practice for minimizing emissions.  Determination of whether acceptable operating and maintenance procedures are being used will be based on information available to the Administrator which may include, but is not limited to, monitoring results, opacity observations, review of operating and maintenance procedures, and inspection of the source.  [</w:t>
      </w:r>
      <w:r w:rsidR="004C51EE">
        <w:rPr>
          <w:szCs w:val="22"/>
        </w:rPr>
        <w:t xml:space="preserve">Rule 62-204.800(8)(d), F.A.C.; and, </w:t>
      </w:r>
      <w:r w:rsidRPr="00C16FF6">
        <w:rPr>
          <w:szCs w:val="22"/>
        </w:rPr>
        <w:t>40 CFR 60.11(d)]</w:t>
      </w:r>
    </w:p>
    <w:p w14:paraId="2FA7139B" w14:textId="12089C86" w:rsidR="00DD5BAA" w:rsidRPr="00DD5BAA" w:rsidRDefault="00DD5BAA" w:rsidP="00C638F9">
      <w:pPr>
        <w:numPr>
          <w:ilvl w:val="0"/>
          <w:numId w:val="5"/>
        </w:numPr>
      </w:pPr>
      <w:bookmarkStart w:id="116" w:name="_Ref503451166"/>
      <w:bookmarkStart w:id="117" w:name="_Hlk520276133"/>
      <w:r w:rsidRPr="00C16FF6">
        <w:rPr>
          <w:szCs w:val="22"/>
          <w:u w:val="single"/>
        </w:rPr>
        <w:t>Custom Fuel Monitoring Schedule for Natural Gas</w:t>
      </w:r>
      <w:r w:rsidRPr="00C16FF6">
        <w:rPr>
          <w:szCs w:val="22"/>
        </w:rPr>
        <w:t>.  The Martin Power Plant facility requested approval for and was granted approval to utilize a customized fuel monitoring schedule for natural gas firing, pursuant to 40 CFR 60.</w:t>
      </w:r>
      <w:r w:rsidRPr="00165583">
        <w:rPr>
          <w:szCs w:val="22"/>
        </w:rPr>
        <w:t>334</w:t>
      </w:r>
      <w:r w:rsidRPr="00C16FF6">
        <w:rPr>
          <w:szCs w:val="22"/>
        </w:rPr>
        <w:t>.  The schedule is as follows:</w:t>
      </w:r>
      <w:bookmarkEnd w:id="116"/>
    </w:p>
    <w:p w14:paraId="6F698ED4" w14:textId="79005167" w:rsidR="00DD5BAA" w:rsidRPr="00DD5BAA" w:rsidRDefault="00DD5BAA" w:rsidP="00061DE9">
      <w:pPr>
        <w:pStyle w:val="ListParagraph"/>
        <w:numPr>
          <w:ilvl w:val="0"/>
          <w:numId w:val="7"/>
        </w:numPr>
      </w:pPr>
      <w:r w:rsidRPr="00C16FF6">
        <w:rPr>
          <w:i/>
          <w:szCs w:val="22"/>
        </w:rPr>
        <w:t xml:space="preserve">Nitrogen Content.  </w:t>
      </w:r>
      <w:r w:rsidRPr="00C16FF6">
        <w:rPr>
          <w:szCs w:val="22"/>
        </w:rPr>
        <w:t xml:space="preserve">Monitoring of fuel nitrogen content shall not be required if </w:t>
      </w:r>
      <w:r>
        <w:rPr>
          <w:szCs w:val="22"/>
        </w:rPr>
        <w:t>natural gas</w:t>
      </w:r>
      <w:r w:rsidRPr="00C16FF6">
        <w:rPr>
          <w:szCs w:val="22"/>
        </w:rPr>
        <w:t xml:space="preserve"> is the only fuel being fired in the gas turbines.</w:t>
      </w:r>
    </w:p>
    <w:p w14:paraId="618E73C9" w14:textId="28B459C0" w:rsidR="00DD5BAA" w:rsidRPr="00DD5BAA" w:rsidRDefault="00DD5BAA" w:rsidP="00061DE9">
      <w:pPr>
        <w:pStyle w:val="ListParagraph"/>
        <w:numPr>
          <w:ilvl w:val="0"/>
          <w:numId w:val="7"/>
        </w:numPr>
      </w:pPr>
      <w:r w:rsidRPr="00C16FF6">
        <w:rPr>
          <w:i/>
          <w:szCs w:val="22"/>
        </w:rPr>
        <w:t>Sulfur Monitoring.</w:t>
      </w:r>
    </w:p>
    <w:p w14:paraId="29E3F1F8" w14:textId="68828EF1" w:rsidR="00DD5BAA" w:rsidRPr="00BB0791" w:rsidRDefault="00DD5BAA" w:rsidP="00061DE9">
      <w:pPr>
        <w:pStyle w:val="ListParagraph"/>
        <w:numPr>
          <w:ilvl w:val="0"/>
          <w:numId w:val="8"/>
        </w:numPr>
        <w:contextualSpacing w:val="0"/>
      </w:pPr>
      <w:r w:rsidRPr="00C16FF6">
        <w:rPr>
          <w:szCs w:val="22"/>
        </w:rPr>
        <w:t xml:space="preserve">Analysis for fuel sulfur content of the natural gas shall be conducted using one of the approved ASTM reference methods </w:t>
      </w:r>
      <w:r w:rsidRPr="00BB0791">
        <w:rPr>
          <w:szCs w:val="22"/>
        </w:rPr>
        <w:t>for the measurement of sulfur in gaseous fuels, or an approved alternative method.  The reference methods are ASTM D1072-80,</w:t>
      </w:r>
      <w:r w:rsidR="00AC2BF9" w:rsidRPr="00BB0791">
        <w:rPr>
          <w:szCs w:val="22"/>
        </w:rPr>
        <w:t xml:space="preserve"> </w:t>
      </w:r>
      <w:r w:rsidRPr="00BB0791">
        <w:rPr>
          <w:szCs w:val="22"/>
        </w:rPr>
        <w:t>ASTM D3246-81</w:t>
      </w:r>
      <w:r w:rsidR="00627C41" w:rsidRPr="00BB0791">
        <w:rPr>
          <w:szCs w:val="22"/>
        </w:rPr>
        <w:t>, ASTM D4468-85 and ASTM D6667-01</w:t>
      </w:r>
      <w:r w:rsidRPr="00BB0791">
        <w:rPr>
          <w:szCs w:val="22"/>
        </w:rPr>
        <w:t>, as referenced in 40 CFR 60.335(b)(</w:t>
      </w:r>
      <w:r w:rsidR="00AC2BF9" w:rsidRPr="00BB0791">
        <w:rPr>
          <w:szCs w:val="22"/>
        </w:rPr>
        <w:t>10</w:t>
      </w:r>
      <w:r w:rsidRPr="00BB0791">
        <w:rPr>
          <w:szCs w:val="22"/>
        </w:rPr>
        <w:t>),</w:t>
      </w:r>
      <w:r w:rsidR="00627C41" w:rsidRPr="00BB0791">
        <w:rPr>
          <w:szCs w:val="22"/>
        </w:rPr>
        <w:t xml:space="preserve"> and ASTM D4084-82 (if the total sulfur content of the gaseous fuel during the most recent performance test was less than 0.4 weight percent),</w:t>
      </w:r>
      <w:r w:rsidRPr="00BB0791">
        <w:rPr>
          <w:szCs w:val="22"/>
        </w:rPr>
        <w:t xml:space="preserve"> or the latest edition(s).</w:t>
      </w:r>
    </w:p>
    <w:p w14:paraId="133F7D75" w14:textId="55D8405F" w:rsidR="00DD5BAA" w:rsidRPr="00DD5BAA" w:rsidRDefault="00DD5BAA" w:rsidP="00061DE9">
      <w:pPr>
        <w:pStyle w:val="ListParagraph"/>
        <w:numPr>
          <w:ilvl w:val="0"/>
          <w:numId w:val="8"/>
        </w:numPr>
        <w:contextualSpacing w:val="0"/>
      </w:pPr>
      <w:r w:rsidRPr="00C16FF6">
        <w:rPr>
          <w:szCs w:val="22"/>
        </w:rPr>
        <w:t xml:space="preserve">This custom fuel monitoring schedule shall become effective on the date this permit becomes valid. Effective the date of this custom schedule, sulfur monitoring shall be conducted twice monthly for six months.  If this monitoring shows little variability in the fuel sulfur content, and indicates consistent compliance with 40 CFR </w:t>
      </w:r>
      <w:r w:rsidRPr="00165583">
        <w:rPr>
          <w:szCs w:val="22"/>
        </w:rPr>
        <w:t>60.333, then sulfur</w:t>
      </w:r>
      <w:r w:rsidRPr="00C16FF6">
        <w:rPr>
          <w:szCs w:val="22"/>
        </w:rPr>
        <w:t xml:space="preserve"> monitoring shall be conducted once per quarter for six quarters.  If monitoring data is provided by the applicant which demonstrates consistent compliance with the requirements herein the applicant may begin monitoring as per the </w:t>
      </w:r>
      <w:r w:rsidRPr="00165583">
        <w:rPr>
          <w:szCs w:val="22"/>
        </w:rPr>
        <w:t>requirements of 2(c).</w:t>
      </w:r>
    </w:p>
    <w:p w14:paraId="642A6EC7" w14:textId="48B54677" w:rsidR="00DD5BAA" w:rsidRPr="00DD5BAA" w:rsidRDefault="00DD5BAA" w:rsidP="00061DE9">
      <w:pPr>
        <w:pStyle w:val="ListParagraph"/>
        <w:numPr>
          <w:ilvl w:val="0"/>
          <w:numId w:val="8"/>
        </w:numPr>
        <w:contextualSpacing w:val="0"/>
      </w:pPr>
      <w:r w:rsidRPr="00C16FF6">
        <w:rPr>
          <w:szCs w:val="22"/>
        </w:rPr>
        <w:t xml:space="preserve">If after the monitoring required in </w:t>
      </w:r>
      <w:r w:rsidRPr="00165583">
        <w:rPr>
          <w:szCs w:val="22"/>
        </w:rPr>
        <w:t>item</w:t>
      </w:r>
      <w:r>
        <w:rPr>
          <w:szCs w:val="22"/>
        </w:rPr>
        <w:t xml:space="preserve"> </w:t>
      </w:r>
      <w:r w:rsidRPr="00C16FF6">
        <w:rPr>
          <w:szCs w:val="22"/>
        </w:rPr>
        <w:t>2</w:t>
      </w:r>
      <w:r w:rsidRPr="00165583">
        <w:rPr>
          <w:szCs w:val="22"/>
        </w:rPr>
        <w:t>(b)</w:t>
      </w:r>
      <w:r w:rsidRPr="00C16FF6">
        <w:rPr>
          <w:szCs w:val="22"/>
        </w:rPr>
        <w:t xml:space="preserve"> above, or herein, the sulfur content of the fuel shows little variability and, calculated as sulfur dioxide, represents consistent compliance with the sulfur dioxide emission limits specified under 40 CFR 60.</w:t>
      </w:r>
      <w:r w:rsidRPr="00165583">
        <w:rPr>
          <w:szCs w:val="22"/>
        </w:rPr>
        <w:t>333</w:t>
      </w:r>
      <w:r w:rsidRPr="00C16FF6">
        <w:rPr>
          <w:szCs w:val="22"/>
        </w:rPr>
        <w:t>, sample analysis shall be conducted twice per annum.  This monitoring shall be conducted during the first and third quarters of each calendar year.</w:t>
      </w:r>
    </w:p>
    <w:p w14:paraId="6D5D31E6" w14:textId="6DF528F9" w:rsidR="00DD5BAA" w:rsidRPr="00DD5BAA" w:rsidRDefault="00DD5BAA" w:rsidP="00061DE9">
      <w:pPr>
        <w:pStyle w:val="ListParagraph"/>
        <w:numPr>
          <w:ilvl w:val="0"/>
          <w:numId w:val="8"/>
        </w:numPr>
        <w:contextualSpacing w:val="0"/>
      </w:pPr>
      <w:r w:rsidRPr="00C16FF6">
        <w:rPr>
          <w:szCs w:val="22"/>
        </w:rPr>
        <w:t xml:space="preserve">Should any sulfur analysis as required in </w:t>
      </w:r>
      <w:r w:rsidRPr="00165583">
        <w:rPr>
          <w:szCs w:val="22"/>
        </w:rPr>
        <w:t>items</w:t>
      </w:r>
      <w:r>
        <w:rPr>
          <w:szCs w:val="22"/>
        </w:rPr>
        <w:t xml:space="preserve"> </w:t>
      </w:r>
      <w:r w:rsidRPr="00C16FF6">
        <w:rPr>
          <w:szCs w:val="22"/>
        </w:rPr>
        <w:t>2</w:t>
      </w:r>
      <w:r w:rsidRPr="00165583">
        <w:rPr>
          <w:szCs w:val="22"/>
        </w:rPr>
        <w:t>(b)</w:t>
      </w:r>
      <w:r w:rsidRPr="00C16FF6">
        <w:rPr>
          <w:szCs w:val="22"/>
        </w:rPr>
        <w:t xml:space="preserve"> or </w:t>
      </w:r>
      <w:r w:rsidRPr="00165583">
        <w:rPr>
          <w:szCs w:val="22"/>
        </w:rPr>
        <w:t>2(c</w:t>
      </w:r>
      <w:r w:rsidRPr="00C16FF6">
        <w:rPr>
          <w:szCs w:val="22"/>
        </w:rPr>
        <w:t>) above indicate noncompliance with 40 CFR 60.</w:t>
      </w:r>
      <w:r w:rsidRPr="00165583">
        <w:rPr>
          <w:szCs w:val="22"/>
        </w:rPr>
        <w:t>333</w:t>
      </w:r>
      <w:r w:rsidRPr="00C16FF6">
        <w:rPr>
          <w:szCs w:val="22"/>
        </w:rPr>
        <w:t>, the owner or operator shall notify the Department of such excess emissions and the custom schedule shall be re-examined by the Environmental Protection Agency.  Sulfur monitoring shall be conducted weekly during the interim period when this custom schedule is being re-examined.</w:t>
      </w:r>
    </w:p>
    <w:p w14:paraId="7131BEA8" w14:textId="0394B64F" w:rsidR="00DD5BAA" w:rsidRPr="00DD5BAA" w:rsidRDefault="00DD5BAA" w:rsidP="00061DE9">
      <w:pPr>
        <w:pStyle w:val="ListParagraph"/>
        <w:numPr>
          <w:ilvl w:val="0"/>
          <w:numId w:val="7"/>
        </w:numPr>
      </w:pPr>
      <w:r w:rsidRPr="00C16FF6">
        <w:rPr>
          <w:i/>
          <w:szCs w:val="22"/>
        </w:rPr>
        <w:t>Change in Fuel Supply</w:t>
      </w:r>
      <w:r w:rsidRPr="00C16FF6">
        <w:rPr>
          <w:szCs w:val="22"/>
        </w:rPr>
        <w:t>.  If there is a change in fuel supply, the owner or operator must notify the Department of such change for re-examination of this custom schedule.  A substantial change in fuel quality shall be considered as a change in fuel supply.  Sulfur monitoring shall be conducted weekly during the interim period when this custom schedule is being re-examined.</w:t>
      </w:r>
    </w:p>
    <w:p w14:paraId="7B229943" w14:textId="34AB95C5" w:rsidR="00DD5BAA" w:rsidRPr="00DD5BAA" w:rsidRDefault="00DD5BAA" w:rsidP="00061DE9">
      <w:pPr>
        <w:pStyle w:val="ListParagraph"/>
        <w:numPr>
          <w:ilvl w:val="0"/>
          <w:numId w:val="7"/>
        </w:numPr>
      </w:pPr>
      <w:r w:rsidRPr="00C16FF6">
        <w:rPr>
          <w:i/>
          <w:szCs w:val="22"/>
        </w:rPr>
        <w:t>Fuel Records</w:t>
      </w:r>
      <w:r w:rsidRPr="00C16FF6">
        <w:rPr>
          <w:szCs w:val="22"/>
        </w:rPr>
        <w:t>.  Records of sample analysis and fuel supply pertinent to this custom schedule shall be retained for a period of five years, and be available for inspection by personnel of federal, state, and local air pollution control agencies.</w:t>
      </w:r>
    </w:p>
    <w:p w14:paraId="359D6A87" w14:textId="361E1598" w:rsidR="00DD5BAA" w:rsidRDefault="00DD5BAA" w:rsidP="00991305">
      <w:pPr>
        <w:pStyle w:val="ListParagraph"/>
        <w:spacing w:after="120"/>
        <w:ind w:left="360"/>
        <w:contextualSpacing w:val="0"/>
      </w:pPr>
      <w:r>
        <w:t>[</w:t>
      </w:r>
      <w:r w:rsidRPr="00BB0791">
        <w:t>40 CFR 60.334</w:t>
      </w:r>
      <w:r w:rsidR="00627C41" w:rsidRPr="00BB0791">
        <w:t xml:space="preserve">(h)(1), </w:t>
      </w:r>
      <w:r w:rsidRPr="00BB0791">
        <w:t>(</w:t>
      </w:r>
      <w:proofErr w:type="spellStart"/>
      <w:r w:rsidR="007A2E2E" w:rsidRPr="00BB0791">
        <w:t>i</w:t>
      </w:r>
      <w:proofErr w:type="spellEnd"/>
      <w:r w:rsidR="007A2E2E" w:rsidRPr="00BB0791">
        <w:t>)(3)</w:t>
      </w:r>
      <w:r w:rsidR="00627C41" w:rsidRPr="00BB0791">
        <w:t xml:space="preserve"> &amp; 60.335(b)(10)(ii)</w:t>
      </w:r>
      <w:r w:rsidR="007A2E2E" w:rsidRPr="00BB0791">
        <w:t>;</w:t>
      </w:r>
      <w:r w:rsidR="007A2E2E">
        <w:t xml:space="preserve"> </w:t>
      </w:r>
      <w:r>
        <w:t>Permit No. PSD-FL-146; and, NSPS Custom Fuel Monitoring Schedule dated 10/14/1997]</w:t>
      </w:r>
    </w:p>
    <w:p w14:paraId="3B2F3339" w14:textId="14F61D83" w:rsidR="0046620C" w:rsidRPr="00BB0791" w:rsidRDefault="00BE4967" w:rsidP="00991305">
      <w:pPr>
        <w:pStyle w:val="ListParagraph"/>
        <w:spacing w:after="120"/>
        <w:ind w:left="360"/>
        <w:contextualSpacing w:val="0"/>
        <w:rPr>
          <w:i/>
        </w:rPr>
      </w:pPr>
      <w:r w:rsidRPr="00BB0791">
        <w:rPr>
          <w:i/>
        </w:rPr>
        <w:t>{Permitting Note:  Pursuant to 40 CFR 60.335(b)(11), the fuel analyses required by this Custom Fuel Monitoring Schedule may be performed by the permittee, a service contractor retained by the permittee, the fuel vendor or any other qualified agency.}</w:t>
      </w:r>
    </w:p>
    <w:bookmarkEnd w:id="117"/>
    <w:p w14:paraId="4E4E860D" w14:textId="77777777" w:rsidR="00F47714" w:rsidRPr="00BB0791" w:rsidRDefault="00F4735D" w:rsidP="00C638F9">
      <w:pPr>
        <w:numPr>
          <w:ilvl w:val="0"/>
          <w:numId w:val="5"/>
        </w:numPr>
      </w:pPr>
      <w:r w:rsidRPr="00BB0791">
        <w:rPr>
          <w:u w:val="single"/>
        </w:rPr>
        <w:t>NSPS Natural Gas Sulfur Content Monitoring Exemption</w:t>
      </w:r>
      <w:r w:rsidRPr="00BB0791">
        <w:t>.  For the purposes of complying with monitoring provisions of NSPS Subpart GG</w:t>
      </w:r>
      <w:r w:rsidR="000E6F06" w:rsidRPr="00BB0791">
        <w:t>, the permittee may elect not to monitor the total sulfur content of the natural gas combusted in each turbine, if the natural gas is demonstrated to meet the definition of natural gas in 40 CFR 60.331(u) (see Appendix NSPS Subpart GG)</w:t>
      </w:r>
      <w:r w:rsidR="00F47714" w:rsidRPr="00BB0791">
        <w:t>, regardless of whether an existing custom schedule approved by the Department for NSPS Subpart GG</w:t>
      </w:r>
      <w:r w:rsidRPr="00BB0791">
        <w:t xml:space="preserve"> </w:t>
      </w:r>
      <w:r w:rsidR="00F47714" w:rsidRPr="00BB0791">
        <w:t>requires such monitoring.  The permittee shall use one of the following sources of information to make the required demonstration:</w:t>
      </w:r>
    </w:p>
    <w:p w14:paraId="5B631EF4" w14:textId="2B2F9C55" w:rsidR="00F4735D" w:rsidRPr="00BB0791" w:rsidRDefault="00F47714" w:rsidP="00061DE9">
      <w:pPr>
        <w:pStyle w:val="ListParagraph"/>
        <w:numPr>
          <w:ilvl w:val="0"/>
          <w:numId w:val="10"/>
        </w:numPr>
        <w:spacing w:after="120"/>
      </w:pPr>
      <w:r w:rsidRPr="00BB0791">
        <w:t>The gas quality characteristics in a current, valid purchase contract, tariff sheet or transportation contract for the gaseous fuel, specifying that the maximum total sulfur content of the fuel is 20.0 grains/100 scf or less;</w:t>
      </w:r>
      <w:r w:rsidR="00135F61" w:rsidRPr="00BB0791">
        <w:t xml:space="preserve"> or</w:t>
      </w:r>
    </w:p>
    <w:p w14:paraId="5C8D45B7" w14:textId="1EF1E3DB" w:rsidR="00135F61" w:rsidRPr="00BB0791" w:rsidRDefault="00135F61" w:rsidP="00061DE9">
      <w:pPr>
        <w:pStyle w:val="ListParagraph"/>
        <w:numPr>
          <w:ilvl w:val="0"/>
          <w:numId w:val="10"/>
        </w:numPr>
        <w:spacing w:after="120"/>
      </w:pPr>
      <w:r w:rsidRPr="00BB0791">
        <w:t>Representative fuel sampling data which show that the sulfur content of the gaseous fuel does not exceed 20 grains/100 scf.  At a minimum, the amount of fuel sampling data specified in section 2.3.1.4 or 2.3.2.4 of Appendix D of 40 CFR 75 is required.</w:t>
      </w:r>
    </w:p>
    <w:p w14:paraId="40BEFD29" w14:textId="51212A28" w:rsidR="008B41CA" w:rsidRPr="00BB0791" w:rsidRDefault="008B41CA" w:rsidP="008B41CA">
      <w:pPr>
        <w:pStyle w:val="ListParagraph"/>
        <w:spacing w:after="120"/>
        <w:ind w:left="360"/>
      </w:pPr>
      <w:r w:rsidRPr="00BB0791">
        <w:t>[40 CFR 60.334(h)(3)]</w:t>
      </w:r>
    </w:p>
    <w:p w14:paraId="703D1095" w14:textId="69C55F54" w:rsidR="003E57F2" w:rsidRPr="00BB0791" w:rsidRDefault="003E57F2" w:rsidP="00BB0791">
      <w:pPr>
        <w:numPr>
          <w:ilvl w:val="0"/>
          <w:numId w:val="5"/>
        </w:numPr>
        <w:spacing w:after="120"/>
        <w:rPr>
          <w:strike/>
          <w:szCs w:val="22"/>
        </w:rPr>
      </w:pPr>
      <w:bookmarkStart w:id="118" w:name="_Hlk520281250"/>
      <w:r w:rsidRPr="00C36F4A">
        <w:rPr>
          <w:szCs w:val="22"/>
          <w:u w:val="single"/>
        </w:rPr>
        <w:t>Monitoring of Inlet Foggers</w:t>
      </w:r>
      <w:r w:rsidRPr="00C36F4A">
        <w:rPr>
          <w:szCs w:val="22"/>
        </w:rPr>
        <w:t xml:space="preserve">.  </w:t>
      </w:r>
      <w:r w:rsidRPr="00BB0791">
        <w:rPr>
          <w:szCs w:val="22"/>
        </w:rPr>
        <w:t>The permittee shall monitor</w:t>
      </w:r>
      <w:r w:rsidR="00C36F4A" w:rsidRPr="00BB0791">
        <w:rPr>
          <w:szCs w:val="22"/>
        </w:rPr>
        <w:t xml:space="preserve"> and record</w:t>
      </w:r>
      <w:r w:rsidRPr="00BB0791">
        <w:rPr>
          <w:szCs w:val="22"/>
        </w:rPr>
        <w:t xml:space="preserve"> the hours of operation for the inlet foggers</w:t>
      </w:r>
      <w:r w:rsidR="00964CB8" w:rsidRPr="00BB0791">
        <w:rPr>
          <w:szCs w:val="22"/>
        </w:rPr>
        <w:t>.</w:t>
      </w:r>
      <w:r w:rsidRPr="00BB0791">
        <w:rPr>
          <w:szCs w:val="22"/>
        </w:rPr>
        <w:t xml:space="preserve"> </w:t>
      </w:r>
      <w:r w:rsidR="00BB0791" w:rsidRPr="00BB0791">
        <w:rPr>
          <w:szCs w:val="22"/>
        </w:rPr>
        <w:t xml:space="preserve"> </w:t>
      </w:r>
      <w:r w:rsidRPr="00BB0791">
        <w:rPr>
          <w:szCs w:val="22"/>
        </w:rPr>
        <w:t>[Permit No. 0850001-</w:t>
      </w:r>
      <w:r w:rsidR="00C8288E" w:rsidRPr="00BB0791">
        <w:rPr>
          <w:szCs w:val="22"/>
        </w:rPr>
        <w:t>041</w:t>
      </w:r>
      <w:r w:rsidRPr="00BB0791">
        <w:rPr>
          <w:strike/>
          <w:szCs w:val="22"/>
        </w:rPr>
        <w:t>-</w:t>
      </w:r>
      <w:r w:rsidRPr="00BB0791">
        <w:rPr>
          <w:szCs w:val="22"/>
        </w:rPr>
        <w:t>AC/PSD-FL-146</w:t>
      </w:r>
      <w:r w:rsidR="009A0F32" w:rsidRPr="00BB0791">
        <w:rPr>
          <w:szCs w:val="22"/>
        </w:rPr>
        <w:t>J &amp; 327G</w:t>
      </w:r>
      <w:r w:rsidRPr="00BB0791">
        <w:rPr>
          <w:szCs w:val="22"/>
        </w:rPr>
        <w:t>]</w:t>
      </w:r>
      <w:bookmarkEnd w:id="118"/>
    </w:p>
    <w:p w14:paraId="2C2359E5" w14:textId="3F794B1C" w:rsidR="00AC3CCF" w:rsidRDefault="00AC3CCF" w:rsidP="00AC3CCF">
      <w:pPr>
        <w:spacing w:after="120"/>
      </w:pPr>
      <w:r>
        <w:rPr>
          <w:b/>
          <w:u w:val="single"/>
        </w:rPr>
        <w:t>Continuous Emissions Monitoring Requirements</w:t>
      </w:r>
    </w:p>
    <w:p w14:paraId="1A91CF31" w14:textId="77777777" w:rsidR="005709CE" w:rsidRPr="00C16FF6" w:rsidRDefault="005709CE" w:rsidP="00C638F9">
      <w:pPr>
        <w:numPr>
          <w:ilvl w:val="0"/>
          <w:numId w:val="5"/>
        </w:numPr>
        <w:rPr>
          <w:szCs w:val="22"/>
        </w:rPr>
      </w:pPr>
      <w:bookmarkStart w:id="119" w:name="_Ref504382442"/>
      <w:r w:rsidRPr="00C16FF6">
        <w:rPr>
          <w:szCs w:val="22"/>
          <w:u w:val="single"/>
        </w:rPr>
        <w:t>System Requirements</w:t>
      </w:r>
      <w:r w:rsidRPr="00C16FF6">
        <w:rPr>
          <w:szCs w:val="22"/>
        </w:rPr>
        <w:t>.  A continuous emissions monitoring system has been installed and shall be operated and maintained in accordance with 40 CFR 75 for each combined cycle unit to monitor nitrogen oxides.</w:t>
      </w:r>
      <w:bookmarkEnd w:id="119"/>
    </w:p>
    <w:p w14:paraId="66C6549A" w14:textId="77777777" w:rsidR="005709CE" w:rsidRPr="00C16FF6" w:rsidRDefault="005709CE" w:rsidP="00061DE9">
      <w:pPr>
        <w:numPr>
          <w:ilvl w:val="1"/>
          <w:numId w:val="12"/>
        </w:numPr>
        <w:tabs>
          <w:tab w:val="clear" w:pos="1800"/>
        </w:tabs>
        <w:ind w:left="720"/>
        <w:rPr>
          <w:szCs w:val="22"/>
        </w:rPr>
      </w:pPr>
      <w:r w:rsidRPr="00C16FF6">
        <w:rPr>
          <w:szCs w:val="22"/>
        </w:rPr>
        <w:t>Each continuous emissions monitoring system (CEMS) shall meet performance specifications of 40 CFR 75, Appendices A, B, and F.</w:t>
      </w:r>
    </w:p>
    <w:p w14:paraId="61A894ED" w14:textId="77777777" w:rsidR="005709CE" w:rsidRPr="00C16FF6" w:rsidRDefault="005709CE" w:rsidP="00061DE9">
      <w:pPr>
        <w:numPr>
          <w:ilvl w:val="1"/>
          <w:numId w:val="12"/>
        </w:numPr>
        <w:tabs>
          <w:tab w:val="clear" w:pos="1800"/>
        </w:tabs>
        <w:ind w:left="720"/>
        <w:rPr>
          <w:szCs w:val="22"/>
        </w:rPr>
      </w:pPr>
      <w:r w:rsidRPr="00C16FF6">
        <w:rPr>
          <w:szCs w:val="22"/>
        </w:rPr>
        <w:t>CEMS data shall be recorded and reported in accordance with 40 CFR 75 and 40 CFR 60.7.  The excess emissions report shall include periods of startup, shutdown, and malfunction and shall be based on NO</w:t>
      </w:r>
      <w:r w:rsidRPr="00C16FF6">
        <w:rPr>
          <w:szCs w:val="22"/>
          <w:vertAlign w:val="subscript"/>
        </w:rPr>
        <w:t>X</w:t>
      </w:r>
      <w:r w:rsidRPr="00C16FF6">
        <w:rPr>
          <w:szCs w:val="22"/>
        </w:rPr>
        <w:t xml:space="preserve"> data corrected to 15 % O2 and 40 degrees F.</w:t>
      </w:r>
    </w:p>
    <w:p w14:paraId="1B66210A" w14:textId="77777777" w:rsidR="005709CE" w:rsidRPr="00C16FF6" w:rsidRDefault="005709CE" w:rsidP="00061DE9">
      <w:pPr>
        <w:numPr>
          <w:ilvl w:val="1"/>
          <w:numId w:val="12"/>
        </w:numPr>
        <w:tabs>
          <w:tab w:val="clear" w:pos="1800"/>
        </w:tabs>
        <w:ind w:left="720"/>
        <w:rPr>
          <w:szCs w:val="22"/>
        </w:rPr>
      </w:pPr>
      <w:r w:rsidRPr="00C16FF6">
        <w:rPr>
          <w:szCs w:val="22"/>
        </w:rPr>
        <w:t>A malfunction means any sudden and unavoidable failure of air pollution equipment or process equipment to operate in a normal or usual manner.  Failures that are caused entirely or in part by poor maintenance, careless operation or any other preventable upset condition or preventable equipment breakdown shall not be considered malfunctions.</w:t>
      </w:r>
    </w:p>
    <w:p w14:paraId="380E4769" w14:textId="4A0BDE9E" w:rsidR="005709CE" w:rsidRPr="00C16FF6" w:rsidRDefault="005709CE" w:rsidP="00061DE9">
      <w:pPr>
        <w:numPr>
          <w:ilvl w:val="1"/>
          <w:numId w:val="12"/>
        </w:numPr>
        <w:tabs>
          <w:tab w:val="clear" w:pos="1800"/>
        </w:tabs>
        <w:ind w:left="720"/>
        <w:rPr>
          <w:szCs w:val="22"/>
        </w:rPr>
      </w:pPr>
      <w:r w:rsidRPr="00C16FF6">
        <w:rPr>
          <w:szCs w:val="22"/>
        </w:rPr>
        <w:t xml:space="preserve">For purposes of reports required under this permit, excess emissions are defined as </w:t>
      </w:r>
      <w:r w:rsidRPr="00BB0791">
        <w:rPr>
          <w:szCs w:val="22"/>
        </w:rPr>
        <w:t>any calculated average emission concentration which exceeds the applicable emission limits in Specific Condition</w:t>
      </w:r>
      <w:r w:rsidR="00D34A49" w:rsidRPr="00BB0791">
        <w:rPr>
          <w:szCs w:val="22"/>
        </w:rPr>
        <w:t xml:space="preserve"> </w:t>
      </w:r>
      <w:r w:rsidR="00186B2D" w:rsidRPr="00BB0791">
        <w:rPr>
          <w:b/>
          <w:szCs w:val="22"/>
        </w:rPr>
        <w:fldChar w:fldCharType="begin"/>
      </w:r>
      <w:r w:rsidR="00186B2D" w:rsidRPr="00BB0791">
        <w:rPr>
          <w:b/>
          <w:szCs w:val="22"/>
        </w:rPr>
        <w:instrText xml:space="preserve"> REF _Ref503356939 \r \h  \* MERGEFORMAT </w:instrText>
      </w:r>
      <w:r w:rsidR="00186B2D" w:rsidRPr="00BB0791">
        <w:rPr>
          <w:b/>
          <w:szCs w:val="22"/>
        </w:rPr>
      </w:r>
      <w:r w:rsidR="00186B2D" w:rsidRPr="00BB0791">
        <w:rPr>
          <w:b/>
          <w:szCs w:val="22"/>
        </w:rPr>
        <w:fldChar w:fldCharType="separate"/>
      </w:r>
      <w:r w:rsidR="00D31800">
        <w:rPr>
          <w:b/>
          <w:szCs w:val="22"/>
        </w:rPr>
        <w:t>B.6</w:t>
      </w:r>
      <w:r w:rsidR="00186B2D" w:rsidRPr="00BB0791">
        <w:rPr>
          <w:b/>
          <w:szCs w:val="22"/>
        </w:rPr>
        <w:fldChar w:fldCharType="end"/>
      </w:r>
      <w:r w:rsidRPr="00BB0791">
        <w:rPr>
          <w:szCs w:val="22"/>
        </w:rPr>
        <w:t>.</w:t>
      </w:r>
      <w:r w:rsidRPr="00C16FF6">
        <w:rPr>
          <w:szCs w:val="22"/>
        </w:rPr>
        <w:t xml:space="preserve">  </w:t>
      </w:r>
    </w:p>
    <w:p w14:paraId="16D66BA0" w14:textId="77777777" w:rsidR="005709CE" w:rsidRDefault="005709CE" w:rsidP="005709CE">
      <w:pPr>
        <w:spacing w:after="120"/>
        <w:ind w:left="634" w:hanging="274"/>
        <w:rPr>
          <w:szCs w:val="22"/>
        </w:rPr>
      </w:pPr>
      <w:r w:rsidRPr="00C16FF6">
        <w:rPr>
          <w:szCs w:val="22"/>
        </w:rPr>
        <w:t>[Permit No. PSD-FL-146, Specific Condition No. 13]</w:t>
      </w:r>
    </w:p>
    <w:p w14:paraId="2FB8F109" w14:textId="71E2DE9A" w:rsidR="00EB3121" w:rsidRDefault="00EB3121" w:rsidP="00C638F9">
      <w:pPr>
        <w:numPr>
          <w:ilvl w:val="0"/>
          <w:numId w:val="5"/>
        </w:numPr>
        <w:spacing w:after="120"/>
        <w:rPr>
          <w:szCs w:val="22"/>
        </w:rPr>
      </w:pPr>
      <w:bookmarkStart w:id="120" w:name="_Ref504382447"/>
      <w:r w:rsidRPr="009A0F32">
        <w:rPr>
          <w:szCs w:val="22"/>
          <w:u w:val="single"/>
        </w:rPr>
        <w:t>Performance Specifications</w:t>
      </w:r>
      <w:r w:rsidRPr="009A0F32">
        <w:rPr>
          <w:szCs w:val="22"/>
        </w:rPr>
        <w:t>.  For the purposes of 40 CFR 60.13, all continuous monitoring systems required under applicable subparts</w:t>
      </w:r>
      <w:r w:rsidRPr="00C16FF6">
        <w:rPr>
          <w:szCs w:val="22"/>
        </w:rPr>
        <w:t xml:space="preserve"> shall be subject to the provisions of 40 CFR 60.13 upon promulgation of performance specifications for continuous monitoring systems under Appendix B of 40 CFR 60 and, if the continuous monitoring system is used to demonstrate compliance with emission limits on a continuous basis, Appendix F of 40 CFR 60, </w:t>
      </w:r>
      <w:r w:rsidRPr="00C16FF6">
        <w:rPr>
          <w:bCs/>
          <w:szCs w:val="22"/>
        </w:rPr>
        <w:t xml:space="preserve">40 CFR Part 75, or as specified by the </w:t>
      </w:r>
      <w:r w:rsidR="00D34A49" w:rsidRPr="00BB0791">
        <w:rPr>
          <w:bCs/>
          <w:szCs w:val="22"/>
        </w:rPr>
        <w:t>Department</w:t>
      </w:r>
      <w:r w:rsidRPr="00C16FF6">
        <w:rPr>
          <w:szCs w:val="22"/>
        </w:rPr>
        <w:t>.  [40 CFR 60.13 and 40 CFR 60.</w:t>
      </w:r>
      <w:r w:rsidRPr="005C7EE6">
        <w:rPr>
          <w:szCs w:val="22"/>
        </w:rPr>
        <w:t>334</w:t>
      </w:r>
      <w:r w:rsidRPr="00C16FF6">
        <w:rPr>
          <w:szCs w:val="22"/>
        </w:rPr>
        <w:t>]</w:t>
      </w:r>
      <w:bookmarkEnd w:id="120"/>
    </w:p>
    <w:p w14:paraId="22B2C788" w14:textId="4B1F86B7" w:rsidR="009C129F" w:rsidRPr="00BB0791" w:rsidRDefault="009C129F" w:rsidP="00BB0791">
      <w:pPr>
        <w:numPr>
          <w:ilvl w:val="0"/>
          <w:numId w:val="5"/>
        </w:numPr>
        <w:spacing w:after="120"/>
        <w:rPr>
          <w:szCs w:val="22"/>
        </w:rPr>
      </w:pPr>
      <w:r w:rsidRPr="00C16FF6">
        <w:rPr>
          <w:szCs w:val="22"/>
          <w:u w:val="single"/>
        </w:rPr>
        <w:t>CEMS Calibration</w:t>
      </w:r>
      <w:r w:rsidRPr="00C16FF6">
        <w:rPr>
          <w:szCs w:val="22"/>
        </w:rPr>
        <w:t xml:space="preserve">.  </w:t>
      </w:r>
      <w:r w:rsidRPr="009C129F">
        <w:t xml:space="preserve">Should </w:t>
      </w:r>
      <w:r w:rsidRPr="00BB0791">
        <w:t>the permittee elect not to follow 40 CFR Part 75 calibration procedures as permitted in Specific Conditions</w:t>
      </w:r>
      <w:r w:rsidR="00C52EAE" w:rsidRPr="00BB0791">
        <w:t xml:space="preserve"> </w:t>
      </w:r>
      <w:r w:rsidRPr="00BB0791">
        <w:rPr>
          <w:b/>
        </w:rPr>
        <w:fldChar w:fldCharType="begin"/>
      </w:r>
      <w:r w:rsidRPr="00BB0791">
        <w:rPr>
          <w:b/>
        </w:rPr>
        <w:instrText xml:space="preserve"> REF _Ref504382442 \r \h  \* MERGEFORMAT </w:instrText>
      </w:r>
      <w:r w:rsidRPr="00BB0791">
        <w:rPr>
          <w:b/>
        </w:rPr>
      </w:r>
      <w:r w:rsidRPr="00BB0791">
        <w:rPr>
          <w:b/>
        </w:rPr>
        <w:fldChar w:fldCharType="separate"/>
      </w:r>
      <w:r w:rsidR="00D31800">
        <w:rPr>
          <w:b/>
        </w:rPr>
        <w:t>B.21</w:t>
      </w:r>
      <w:r w:rsidRPr="00BB0791">
        <w:rPr>
          <w:b/>
        </w:rPr>
        <w:fldChar w:fldCharType="end"/>
      </w:r>
      <w:r w:rsidRPr="00BB0791">
        <w:t xml:space="preserve"> and </w:t>
      </w:r>
      <w:r w:rsidRPr="00BB0791">
        <w:rPr>
          <w:b/>
        </w:rPr>
        <w:fldChar w:fldCharType="begin"/>
      </w:r>
      <w:r w:rsidRPr="00BB0791">
        <w:rPr>
          <w:b/>
        </w:rPr>
        <w:instrText xml:space="preserve"> REF _Ref504382447 \r \h  \* MERGEFORMAT </w:instrText>
      </w:r>
      <w:r w:rsidRPr="00BB0791">
        <w:rPr>
          <w:b/>
        </w:rPr>
      </w:r>
      <w:r w:rsidRPr="00BB0791">
        <w:rPr>
          <w:b/>
        </w:rPr>
        <w:fldChar w:fldCharType="separate"/>
      </w:r>
      <w:r w:rsidR="00D31800">
        <w:rPr>
          <w:b/>
        </w:rPr>
        <w:t>B.22</w:t>
      </w:r>
      <w:r w:rsidRPr="00BB0791">
        <w:rPr>
          <w:b/>
        </w:rPr>
        <w:fldChar w:fldCharType="end"/>
      </w:r>
      <w:r w:rsidRPr="00BB0791">
        <w:t xml:space="preserve">, </w:t>
      </w:r>
      <w:r w:rsidRPr="00BB0791">
        <w:rPr>
          <w:szCs w:val="22"/>
        </w:rPr>
        <w:t>owners and operators of all CEMS installed in accordance with the provisions of this part shall check the zero (or low-level value between 0 and 20 percent of span value) and span (50 to 100% of span value) calibration drifts at least once daily in accordance with a written procedure.  The zero and span shall, as a minimum, be adjusted whenever the 24-hour zero drift or 24-hour span drift exceeds two times the limits of the applicable performance specifications in Appendix B.  The system must allow the amount of excess zero and span drift measured at the 24-hour interval checks to be recorded and quantified, whenever specified.  [40 CFR 60.13(d)(1)]</w:t>
      </w:r>
    </w:p>
    <w:p w14:paraId="15E83C56" w14:textId="0204EAFD" w:rsidR="009C129F" w:rsidRPr="00BB0791" w:rsidRDefault="00990068" w:rsidP="00BB0791">
      <w:pPr>
        <w:numPr>
          <w:ilvl w:val="0"/>
          <w:numId w:val="5"/>
        </w:numPr>
        <w:spacing w:after="120"/>
        <w:rPr>
          <w:strike/>
          <w:szCs w:val="22"/>
        </w:rPr>
      </w:pPr>
      <w:bookmarkStart w:id="121" w:name="_Hlk520374716"/>
      <w:r w:rsidRPr="00990068">
        <w:rPr>
          <w:szCs w:val="22"/>
          <w:u w:val="single"/>
        </w:rPr>
        <w:t>Frequency of Operation</w:t>
      </w:r>
      <w:r w:rsidRPr="00990068">
        <w:rPr>
          <w:szCs w:val="22"/>
        </w:rPr>
        <w:t>.</w:t>
      </w:r>
      <w:r>
        <w:rPr>
          <w:szCs w:val="22"/>
        </w:rPr>
        <w:t xml:space="preserve">  </w:t>
      </w:r>
      <w:r w:rsidRPr="00BB0791">
        <w:rPr>
          <w:szCs w:val="22"/>
        </w:rPr>
        <w:t>During each full unit operating hour, each CEMS must complete a minimum of one cycle of operation (sampling, analyzing and data recording) for each 15-minute quadrant of the hour, to validate the hour.  For partial unit operating hours, at least one valid data point must be obtained for each quadrant of the hour in which the unit operates.  For unit operating hours in which required quality assurance and maintenance activities are performed on the CEMS, a minimum of two valid data points (on in each of two quadrants) are required to validate the hour.  [40 CFR 60.334(b)(2)]</w:t>
      </w:r>
    </w:p>
    <w:bookmarkEnd w:id="121"/>
    <w:p w14:paraId="3494F2CF" w14:textId="33120591" w:rsidR="00990068" w:rsidRPr="00990068" w:rsidRDefault="00990068" w:rsidP="00990068">
      <w:pPr>
        <w:numPr>
          <w:ilvl w:val="0"/>
          <w:numId w:val="5"/>
        </w:numPr>
        <w:spacing w:after="120"/>
        <w:rPr>
          <w:strike/>
          <w:szCs w:val="22"/>
        </w:rPr>
      </w:pPr>
      <w:r w:rsidRPr="00C16FF6">
        <w:rPr>
          <w:szCs w:val="22"/>
          <w:u w:val="single"/>
        </w:rPr>
        <w:t>Representative Measurements</w:t>
      </w:r>
      <w:r w:rsidRPr="00C16FF6">
        <w:rPr>
          <w:szCs w:val="22"/>
        </w:rPr>
        <w:t>.  All CMS or monitoring devices shall be installed such that representative measurements of emissions or process parameters from the affected facility are obtained.  Additional procedures for location of continuous monitoring systems contained in the applicable Performance Specifications of Appendix B of 40 CFR 60 shall be used.  [40 CFR 60.13(f)]</w:t>
      </w:r>
    </w:p>
    <w:p w14:paraId="4229C8D0" w14:textId="75FDBCBF" w:rsidR="00990068" w:rsidRPr="003B7668" w:rsidRDefault="003B7668" w:rsidP="00990068">
      <w:pPr>
        <w:numPr>
          <w:ilvl w:val="0"/>
          <w:numId w:val="5"/>
        </w:numPr>
        <w:spacing w:after="120"/>
        <w:rPr>
          <w:strike/>
          <w:szCs w:val="22"/>
        </w:rPr>
      </w:pPr>
      <w:r w:rsidRPr="00C16FF6">
        <w:rPr>
          <w:szCs w:val="22"/>
          <w:u w:val="single"/>
        </w:rPr>
        <w:t>Multiple Systems</w:t>
      </w:r>
      <w:r w:rsidRPr="00C16FF6">
        <w:rPr>
          <w:szCs w:val="22"/>
        </w:rPr>
        <w:t>.  When the effluents from a single affected facility or two or more affected facilities subject to th</w:t>
      </w:r>
      <w:r w:rsidRPr="00BB0791">
        <w:rPr>
          <w:szCs w:val="22"/>
        </w:rPr>
        <w:t>e same emission standards are combined before being released to the atmosphere, permittee may install applicable CMS on each effluent or on the combined effluent.  When the affected facilities are not subject to the same emission standards, separate continuous monitoring systems shall be installed on each effluent.  When the effluent from one affected facility is released to the atmosphere through more than one point, the permittee shall install an applicable continuous monitoring system on each separate effluent unless the installation of fewer systems is approved by the Department.  When more than one continuous monitoring system is used to measure the emissions from one affected facility (e.g., multiple breechings, multiple outlets), the permittee shall report the results as required</w:t>
      </w:r>
      <w:r w:rsidRPr="00C16FF6">
        <w:rPr>
          <w:szCs w:val="22"/>
        </w:rPr>
        <w:t xml:space="preserve"> from each continuous monitoring system.  [40 CFR 60.13(g)]</w:t>
      </w:r>
    </w:p>
    <w:p w14:paraId="7431E6A4" w14:textId="5D13BCA4" w:rsidR="003B7668" w:rsidRPr="009C129F" w:rsidRDefault="003B7668" w:rsidP="00990068">
      <w:pPr>
        <w:numPr>
          <w:ilvl w:val="0"/>
          <w:numId w:val="5"/>
        </w:numPr>
        <w:spacing w:after="120"/>
        <w:rPr>
          <w:strike/>
          <w:szCs w:val="22"/>
        </w:rPr>
      </w:pPr>
      <w:bookmarkStart w:id="122" w:name="_Hlk520374775"/>
      <w:r w:rsidRPr="00C16FF6">
        <w:rPr>
          <w:szCs w:val="22"/>
          <w:u w:val="single"/>
        </w:rPr>
        <w:t>Data Reduction</w:t>
      </w:r>
      <w:r w:rsidRPr="00C16FF6">
        <w:rPr>
          <w:szCs w:val="22"/>
        </w:rPr>
        <w:t xml:space="preserve">.  </w:t>
      </w:r>
      <w:r w:rsidR="00E345D4" w:rsidRPr="002775C9">
        <w:rPr>
          <w:szCs w:val="22"/>
        </w:rPr>
        <w:t>For the purpose of complying with NSPS Subpart GG standards, t</w:t>
      </w:r>
      <w:r w:rsidRPr="002775C9">
        <w:rPr>
          <w:szCs w:val="22"/>
        </w:rPr>
        <w:t>he permittee shall reduce all</w:t>
      </w:r>
      <w:r w:rsidR="00E345D4" w:rsidRPr="002775C9">
        <w:rPr>
          <w:szCs w:val="22"/>
        </w:rPr>
        <w:t xml:space="preserve"> CEMS</w:t>
      </w:r>
      <w:r w:rsidRPr="002775C9">
        <w:rPr>
          <w:szCs w:val="22"/>
        </w:rPr>
        <w:t xml:space="preserve"> data to 1-hour averages for time periods as defined in 40 CFR 60.2.  </w:t>
      </w:r>
      <w:r w:rsidR="00E345D4" w:rsidRPr="002775C9">
        <w:rPr>
          <w:szCs w:val="22"/>
        </w:rPr>
        <w:t>One</w:t>
      </w:r>
      <w:r w:rsidRPr="002775C9">
        <w:rPr>
          <w:szCs w:val="22"/>
        </w:rPr>
        <w:t xml:space="preserve">-hour averages shall be computed from four or more data points equally spaced over each 1-hour period.  Data recorded during periods of continuous monitoring system breakdowns, repairs, calibration checks, and zero and span adjustments shall not be included in the data averages computed under this paragraph.  An arithmetic or integrated average of all data may be used.  The data may be recorded in reduced or non-reduced form (e.g., ppm pollutant and percent </w:t>
      </w:r>
      <w:r w:rsidR="00E345D4" w:rsidRPr="002775C9">
        <w:rPr>
          <w:szCs w:val="22"/>
        </w:rPr>
        <w:t>O</w:t>
      </w:r>
      <w:r w:rsidR="00E345D4" w:rsidRPr="002775C9">
        <w:rPr>
          <w:szCs w:val="22"/>
          <w:vertAlign w:val="subscript"/>
        </w:rPr>
        <w:t>2</w:t>
      </w:r>
      <w:r w:rsidRPr="002775C9">
        <w:rPr>
          <w:szCs w:val="22"/>
        </w:rPr>
        <w:t xml:space="preserve"> or ng/J of pollutant).  All excess emissions shall be converted into units of the standard using the applicable conversion procedures specified in subparts.  After conversion into units of the standard, the data may be rounded to the same number of significant digits as used in the applicable subparts to specify the emission limit (e.g., rounded</w:t>
      </w:r>
      <w:r w:rsidRPr="00C16FF6">
        <w:rPr>
          <w:szCs w:val="22"/>
        </w:rPr>
        <w:t xml:space="preserve"> to the nearest 1 percent opacity).  [40 CFR 60.13(h)]</w:t>
      </w:r>
      <w:bookmarkEnd w:id="122"/>
    </w:p>
    <w:p w14:paraId="2B43428C" w14:textId="5AFE3CFD" w:rsidR="00AC3CCF" w:rsidRDefault="00A9457D" w:rsidP="00A9457D">
      <w:pPr>
        <w:spacing w:after="120"/>
        <w:rPr>
          <w:b/>
          <w:u w:val="single"/>
        </w:rPr>
      </w:pPr>
      <w:r w:rsidRPr="00B33C23">
        <w:rPr>
          <w:b/>
          <w:u w:val="single"/>
        </w:rPr>
        <w:t>Test Methods and Procedures</w:t>
      </w:r>
    </w:p>
    <w:p w14:paraId="02D46E17" w14:textId="5938C747" w:rsidR="00A9457D" w:rsidRPr="002775C9" w:rsidRDefault="00A9457D" w:rsidP="00C638F9">
      <w:pPr>
        <w:numPr>
          <w:ilvl w:val="0"/>
          <w:numId w:val="5"/>
        </w:numPr>
        <w:spacing w:after="120"/>
        <w:rPr>
          <w:szCs w:val="22"/>
        </w:rPr>
      </w:pPr>
      <w:bookmarkStart w:id="123" w:name="_Hlk520374817"/>
      <w:r>
        <w:rPr>
          <w:szCs w:val="22"/>
          <w:u w:val="single"/>
        </w:rPr>
        <w:t>Test Methods</w:t>
      </w:r>
      <w:r w:rsidRPr="000A3E93">
        <w:rPr>
          <w:szCs w:val="22"/>
        </w:rPr>
        <w:t>.</w:t>
      </w:r>
      <w:r w:rsidRPr="00C66B90">
        <w:rPr>
          <w:szCs w:val="22"/>
        </w:rPr>
        <w:t xml:space="preserve"> </w:t>
      </w:r>
      <w:r>
        <w:rPr>
          <w:szCs w:val="22"/>
        </w:rPr>
        <w:t xml:space="preserve"> </w:t>
      </w:r>
      <w:r w:rsidRPr="002775C9">
        <w:rPr>
          <w:szCs w:val="22"/>
        </w:rPr>
        <w:t>When required, tests shall be performed in accordance with the following reference methods:</w:t>
      </w:r>
      <w:r w:rsidR="0032643E" w:rsidRPr="002775C9">
        <w:rPr>
          <w:szCs w:val="22"/>
        </w:rPr>
        <w:t xml:space="preserve"> </w:t>
      </w:r>
    </w:p>
    <w:tbl>
      <w:tblPr>
        <w:tblW w:w="9468" w:type="dxa"/>
        <w:tblInd w:w="432" w:type="dxa"/>
        <w:tblBorders>
          <w:top w:val="single" w:sz="8" w:space="0" w:color="auto"/>
          <w:left w:val="single" w:sz="8" w:space="0" w:color="auto"/>
          <w:bottom w:val="single" w:sz="8" w:space="0" w:color="auto"/>
          <w:right w:val="single" w:sz="8" w:space="0" w:color="auto"/>
          <w:insideH w:val="single" w:sz="4" w:space="0" w:color="auto"/>
          <w:insideV w:val="single" w:sz="8" w:space="0" w:color="auto"/>
        </w:tblBorders>
        <w:tblLayout w:type="fixed"/>
        <w:tblCellMar>
          <w:top w:w="43" w:type="dxa"/>
          <w:left w:w="72" w:type="dxa"/>
          <w:bottom w:w="43" w:type="dxa"/>
          <w:right w:w="72" w:type="dxa"/>
        </w:tblCellMar>
        <w:tblLook w:val="0000" w:firstRow="0" w:lastRow="0" w:firstColumn="0" w:lastColumn="0" w:noHBand="0" w:noVBand="0"/>
      </w:tblPr>
      <w:tblGrid>
        <w:gridCol w:w="1224"/>
        <w:gridCol w:w="8244"/>
      </w:tblGrid>
      <w:tr w:rsidR="00A9457D" w:rsidRPr="00B41709" w14:paraId="63953A83" w14:textId="77777777" w:rsidTr="00E53098">
        <w:trPr>
          <w:tblHeader/>
        </w:trPr>
        <w:tc>
          <w:tcPr>
            <w:tcW w:w="1224" w:type="dxa"/>
            <w:tcBorders>
              <w:top w:val="single" w:sz="12" w:space="0" w:color="auto"/>
              <w:left w:val="single" w:sz="12" w:space="0" w:color="auto"/>
              <w:bottom w:val="single" w:sz="12" w:space="0" w:color="auto"/>
            </w:tcBorders>
          </w:tcPr>
          <w:p w14:paraId="2A900BCC" w14:textId="77777777" w:rsidR="00A9457D" w:rsidRPr="00B41709" w:rsidRDefault="00A9457D" w:rsidP="00E53098">
            <w:pPr>
              <w:jc w:val="center"/>
              <w:rPr>
                <w:b/>
              </w:rPr>
            </w:pPr>
            <w:r w:rsidRPr="00B41709">
              <w:rPr>
                <w:b/>
              </w:rPr>
              <w:t>Method</w:t>
            </w:r>
          </w:p>
        </w:tc>
        <w:tc>
          <w:tcPr>
            <w:tcW w:w="8244" w:type="dxa"/>
            <w:tcBorders>
              <w:top w:val="single" w:sz="12" w:space="0" w:color="auto"/>
              <w:bottom w:val="single" w:sz="12" w:space="0" w:color="auto"/>
              <w:right w:val="single" w:sz="12" w:space="0" w:color="auto"/>
            </w:tcBorders>
          </w:tcPr>
          <w:p w14:paraId="732167BA" w14:textId="77777777" w:rsidR="00A9457D" w:rsidRPr="00B41709" w:rsidRDefault="00A9457D" w:rsidP="00E53098">
            <w:pPr>
              <w:rPr>
                <w:b/>
              </w:rPr>
            </w:pPr>
            <w:r w:rsidRPr="00B41709">
              <w:rPr>
                <w:b/>
              </w:rPr>
              <w:t>Description of Method and Comments</w:t>
            </w:r>
          </w:p>
        </w:tc>
      </w:tr>
      <w:tr w:rsidR="00A9457D" w:rsidRPr="006561AD" w14:paraId="64913965" w14:textId="77777777" w:rsidTr="00E53098">
        <w:tc>
          <w:tcPr>
            <w:tcW w:w="1224" w:type="dxa"/>
            <w:tcBorders>
              <w:top w:val="single" w:sz="12" w:space="0" w:color="auto"/>
              <w:left w:val="single" w:sz="12" w:space="0" w:color="auto"/>
            </w:tcBorders>
          </w:tcPr>
          <w:p w14:paraId="6EF29BD0" w14:textId="77777777" w:rsidR="00A9457D" w:rsidRPr="003C078D" w:rsidRDefault="00A9457D" w:rsidP="00E53098">
            <w:pPr>
              <w:jc w:val="center"/>
            </w:pPr>
            <w:r w:rsidRPr="003C078D">
              <w:t>1-4</w:t>
            </w:r>
          </w:p>
        </w:tc>
        <w:tc>
          <w:tcPr>
            <w:tcW w:w="8244" w:type="dxa"/>
            <w:tcBorders>
              <w:top w:val="single" w:sz="12" w:space="0" w:color="auto"/>
              <w:right w:val="single" w:sz="12" w:space="0" w:color="auto"/>
            </w:tcBorders>
          </w:tcPr>
          <w:p w14:paraId="6C506DCD" w14:textId="77777777" w:rsidR="00A9457D" w:rsidRPr="003C078D" w:rsidRDefault="00A9457D" w:rsidP="00E53098">
            <w:r w:rsidRPr="003C078D">
              <w:t>Traverse Points, Velocity and Flow Rate, Gas Analysis, and Moisture Content</w:t>
            </w:r>
          </w:p>
        </w:tc>
      </w:tr>
      <w:tr w:rsidR="00A9457D" w:rsidRPr="006561AD" w14:paraId="041AE42D" w14:textId="77777777" w:rsidTr="00E53098">
        <w:tc>
          <w:tcPr>
            <w:tcW w:w="1224" w:type="dxa"/>
            <w:tcBorders>
              <w:left w:val="single" w:sz="12" w:space="0" w:color="auto"/>
            </w:tcBorders>
          </w:tcPr>
          <w:p w14:paraId="3253D57F" w14:textId="389CD3AD" w:rsidR="00A9457D" w:rsidRPr="006561AD" w:rsidRDefault="003C078D" w:rsidP="00E53098">
            <w:pPr>
              <w:spacing w:before="40" w:after="40"/>
              <w:jc w:val="center"/>
              <w:rPr>
                <w:highlight w:val="yellow"/>
              </w:rPr>
            </w:pPr>
            <w:r w:rsidRPr="003C078D">
              <w:t>3</w:t>
            </w:r>
          </w:p>
        </w:tc>
        <w:tc>
          <w:tcPr>
            <w:tcW w:w="8244" w:type="dxa"/>
            <w:tcBorders>
              <w:right w:val="single" w:sz="12" w:space="0" w:color="auto"/>
            </w:tcBorders>
          </w:tcPr>
          <w:p w14:paraId="55324200" w14:textId="08B2EAA2" w:rsidR="00A9457D" w:rsidRPr="006561AD" w:rsidRDefault="009D1D5A" w:rsidP="00E53098">
            <w:pPr>
              <w:spacing w:before="40" w:after="40"/>
              <w:jc w:val="both"/>
              <w:rPr>
                <w:highlight w:val="yellow"/>
              </w:rPr>
            </w:pPr>
            <w:r w:rsidRPr="00C16FF6">
              <w:rPr>
                <w:bCs/>
                <w:szCs w:val="22"/>
              </w:rPr>
              <w:t>Determination of Oxygen and Carbon Dioxide Concentrations in Emissions from Stationary Sources</w:t>
            </w:r>
          </w:p>
        </w:tc>
      </w:tr>
      <w:tr w:rsidR="000B49D5" w:rsidRPr="006561AD" w14:paraId="2ED1D6F3" w14:textId="77777777" w:rsidTr="00E53098">
        <w:tc>
          <w:tcPr>
            <w:tcW w:w="1224" w:type="dxa"/>
            <w:tcBorders>
              <w:left w:val="single" w:sz="12" w:space="0" w:color="auto"/>
            </w:tcBorders>
          </w:tcPr>
          <w:p w14:paraId="18D2BB7B" w14:textId="74D1D788" w:rsidR="000B49D5" w:rsidRPr="006561AD" w:rsidRDefault="000B49D5" w:rsidP="000B49D5">
            <w:pPr>
              <w:jc w:val="center"/>
              <w:rPr>
                <w:highlight w:val="yellow"/>
              </w:rPr>
            </w:pPr>
            <w:r w:rsidRPr="003C078D">
              <w:t>5 or 17</w:t>
            </w:r>
          </w:p>
        </w:tc>
        <w:tc>
          <w:tcPr>
            <w:tcW w:w="8244" w:type="dxa"/>
            <w:tcBorders>
              <w:right w:val="single" w:sz="12" w:space="0" w:color="auto"/>
            </w:tcBorders>
          </w:tcPr>
          <w:p w14:paraId="676F2B02" w14:textId="4A578F17" w:rsidR="000B49D5" w:rsidRPr="009D1D5A" w:rsidRDefault="000B49D5" w:rsidP="000B49D5">
            <w:r w:rsidRPr="009D1D5A">
              <w:t>Method for Determining Particulate Matter Emissions (All PM is assumed to be PM</w:t>
            </w:r>
            <w:r w:rsidRPr="009D1D5A">
              <w:rPr>
                <w:vertAlign w:val="subscript"/>
              </w:rPr>
              <w:t>10</w:t>
            </w:r>
            <w:r w:rsidRPr="009D1D5A">
              <w:t>.)</w:t>
            </w:r>
          </w:p>
        </w:tc>
      </w:tr>
      <w:tr w:rsidR="000B49D5" w:rsidRPr="006561AD" w14:paraId="5D64A300" w14:textId="77777777" w:rsidTr="00E53098">
        <w:tc>
          <w:tcPr>
            <w:tcW w:w="1224" w:type="dxa"/>
            <w:tcBorders>
              <w:left w:val="single" w:sz="12" w:space="0" w:color="auto"/>
            </w:tcBorders>
          </w:tcPr>
          <w:p w14:paraId="16B05496" w14:textId="77777777" w:rsidR="000B49D5" w:rsidRPr="003C078D" w:rsidRDefault="000B49D5" w:rsidP="000B49D5">
            <w:pPr>
              <w:jc w:val="center"/>
            </w:pPr>
            <w:r w:rsidRPr="003C078D">
              <w:t>7E</w:t>
            </w:r>
          </w:p>
        </w:tc>
        <w:tc>
          <w:tcPr>
            <w:tcW w:w="8244" w:type="dxa"/>
            <w:tcBorders>
              <w:right w:val="single" w:sz="12" w:space="0" w:color="auto"/>
            </w:tcBorders>
          </w:tcPr>
          <w:p w14:paraId="05A9C7DA" w14:textId="77777777" w:rsidR="000B49D5" w:rsidRPr="003C078D" w:rsidRDefault="000B49D5" w:rsidP="000B49D5">
            <w:r w:rsidRPr="003C078D">
              <w:t>Determination of Nitrogen Oxide Emissions from Stationary Sources</w:t>
            </w:r>
          </w:p>
        </w:tc>
      </w:tr>
      <w:tr w:rsidR="000B49D5" w:rsidRPr="006561AD" w14:paraId="10EF09EB" w14:textId="77777777" w:rsidTr="00E53098">
        <w:tc>
          <w:tcPr>
            <w:tcW w:w="1224" w:type="dxa"/>
            <w:tcBorders>
              <w:left w:val="single" w:sz="12" w:space="0" w:color="auto"/>
            </w:tcBorders>
          </w:tcPr>
          <w:p w14:paraId="78CE28AA" w14:textId="77777777" w:rsidR="000B49D5" w:rsidRPr="003C078D" w:rsidRDefault="000B49D5" w:rsidP="000B49D5">
            <w:pPr>
              <w:jc w:val="center"/>
            </w:pPr>
            <w:r w:rsidRPr="003C078D">
              <w:t>9</w:t>
            </w:r>
          </w:p>
        </w:tc>
        <w:tc>
          <w:tcPr>
            <w:tcW w:w="8244" w:type="dxa"/>
            <w:tcBorders>
              <w:right w:val="single" w:sz="12" w:space="0" w:color="auto"/>
            </w:tcBorders>
          </w:tcPr>
          <w:p w14:paraId="17FAF0A8" w14:textId="77777777" w:rsidR="000B49D5" w:rsidRPr="003C078D" w:rsidRDefault="000B49D5" w:rsidP="000B49D5">
            <w:r w:rsidRPr="003C078D">
              <w:t>Visual Determination of the Opacity of Emissions from Stationary Sources</w:t>
            </w:r>
          </w:p>
        </w:tc>
      </w:tr>
      <w:tr w:rsidR="000B49D5" w:rsidRPr="006561AD" w14:paraId="5D1B0E5C" w14:textId="77777777" w:rsidTr="005869C5">
        <w:tc>
          <w:tcPr>
            <w:tcW w:w="1224" w:type="dxa"/>
            <w:tcBorders>
              <w:left w:val="single" w:sz="12" w:space="0" w:color="auto"/>
              <w:bottom w:val="single" w:sz="4" w:space="0" w:color="auto"/>
            </w:tcBorders>
          </w:tcPr>
          <w:p w14:paraId="3D5C2848" w14:textId="77777777" w:rsidR="000B49D5" w:rsidRPr="003C078D" w:rsidRDefault="000B49D5" w:rsidP="000B49D5">
            <w:pPr>
              <w:jc w:val="center"/>
            </w:pPr>
            <w:r w:rsidRPr="003C078D">
              <w:t>10</w:t>
            </w:r>
          </w:p>
        </w:tc>
        <w:tc>
          <w:tcPr>
            <w:tcW w:w="8244" w:type="dxa"/>
            <w:tcBorders>
              <w:bottom w:val="single" w:sz="4" w:space="0" w:color="auto"/>
              <w:right w:val="single" w:sz="12" w:space="0" w:color="auto"/>
            </w:tcBorders>
          </w:tcPr>
          <w:p w14:paraId="13821692" w14:textId="77777777" w:rsidR="000B49D5" w:rsidRPr="003C078D" w:rsidRDefault="000B49D5" w:rsidP="000B49D5">
            <w:r w:rsidRPr="003C078D">
              <w:t>Determination of Carbon Monoxide Emissions from Stationary Sources</w:t>
            </w:r>
          </w:p>
          <w:p w14:paraId="00A88C4D" w14:textId="77777777" w:rsidR="000B49D5" w:rsidRPr="003C078D" w:rsidRDefault="000B49D5" w:rsidP="000B49D5">
            <w:r w:rsidRPr="003C078D">
              <w:t>{Note:  The method shall be based on a continuous sampling train.}</w:t>
            </w:r>
          </w:p>
        </w:tc>
      </w:tr>
      <w:tr w:rsidR="000B49D5" w:rsidRPr="006561AD" w14:paraId="52C959CF" w14:textId="77777777" w:rsidTr="005869C5">
        <w:trPr>
          <w:trHeight w:val="154"/>
        </w:trPr>
        <w:tc>
          <w:tcPr>
            <w:tcW w:w="1224" w:type="dxa"/>
            <w:tcBorders>
              <w:top w:val="single" w:sz="4" w:space="0" w:color="auto"/>
              <w:left w:val="single" w:sz="12" w:space="0" w:color="auto"/>
              <w:bottom w:val="single" w:sz="12" w:space="0" w:color="auto"/>
            </w:tcBorders>
          </w:tcPr>
          <w:p w14:paraId="6F1FC3EB" w14:textId="77777777" w:rsidR="000B49D5" w:rsidRPr="003C078D" w:rsidRDefault="000B49D5" w:rsidP="000B49D5">
            <w:pPr>
              <w:spacing w:before="40" w:after="40"/>
              <w:jc w:val="center"/>
            </w:pPr>
            <w:r w:rsidRPr="003C078D">
              <w:t>20</w:t>
            </w:r>
          </w:p>
        </w:tc>
        <w:tc>
          <w:tcPr>
            <w:tcW w:w="8244" w:type="dxa"/>
            <w:tcBorders>
              <w:top w:val="single" w:sz="4" w:space="0" w:color="auto"/>
              <w:bottom w:val="single" w:sz="12" w:space="0" w:color="auto"/>
              <w:right w:val="single" w:sz="12" w:space="0" w:color="auto"/>
            </w:tcBorders>
          </w:tcPr>
          <w:p w14:paraId="30AC085B" w14:textId="77777777" w:rsidR="000B49D5" w:rsidRPr="003C078D" w:rsidRDefault="000B49D5" w:rsidP="000B49D5">
            <w:pPr>
              <w:autoSpaceDE w:val="0"/>
              <w:autoSpaceDN w:val="0"/>
              <w:adjustRightInd w:val="0"/>
            </w:pPr>
            <w:r w:rsidRPr="003C078D">
              <w:rPr>
                <w:bCs/>
              </w:rPr>
              <w:t>Determination of Nitrogen Oxides, Sulfur Dioxide and Diluent Emissions from Stationary Gas Turbines</w:t>
            </w:r>
          </w:p>
        </w:tc>
      </w:tr>
    </w:tbl>
    <w:p w14:paraId="380E5CCD" w14:textId="2E796336" w:rsidR="00F35D38" w:rsidRPr="002775C9" w:rsidRDefault="00A9457D" w:rsidP="00370752">
      <w:pPr>
        <w:tabs>
          <w:tab w:val="left" w:pos="-1440"/>
          <w:tab w:val="left" w:pos="-720"/>
        </w:tabs>
        <w:spacing w:after="120"/>
        <w:ind w:left="360"/>
        <w:rPr>
          <w:szCs w:val="22"/>
        </w:rPr>
      </w:pPr>
      <w:r>
        <w:rPr>
          <w:szCs w:val="22"/>
        </w:rPr>
        <w:tab/>
      </w:r>
      <w:r w:rsidRPr="00845DA5">
        <w:rPr>
          <w:szCs w:val="22"/>
        </w:rPr>
        <w:t>The above methods are described in 40 CFR 60, Appendix A, and adopted by reference in Rule 62-204.800, F.A.C.</w:t>
      </w:r>
      <w:r>
        <w:rPr>
          <w:szCs w:val="22"/>
        </w:rPr>
        <w:t xml:space="preserve">  No other methods may be used unless prior written approval is received from the Department.</w:t>
      </w:r>
      <w:r w:rsidR="00370752">
        <w:rPr>
          <w:szCs w:val="22"/>
        </w:rPr>
        <w:t xml:space="preserve">  </w:t>
      </w:r>
      <w:r w:rsidR="00370752" w:rsidRPr="00C16FF6">
        <w:rPr>
          <w:szCs w:val="22"/>
        </w:rPr>
        <w:t xml:space="preserve">The stack test for each turbine shall be performed within 10% of the maximum </w:t>
      </w:r>
      <w:proofErr w:type="spellStart"/>
      <w:r w:rsidR="00370752" w:rsidRPr="00C16FF6">
        <w:rPr>
          <w:szCs w:val="22"/>
        </w:rPr>
        <w:t>heat</w:t>
      </w:r>
      <w:proofErr w:type="spellEnd"/>
      <w:r w:rsidR="00370752" w:rsidRPr="00C16FF6">
        <w:rPr>
          <w:szCs w:val="22"/>
        </w:rPr>
        <w:t xml:space="preserve"> rate input for the tested operating temperature.  See Specific </w:t>
      </w:r>
      <w:r w:rsidR="00370752" w:rsidRPr="00D74432">
        <w:rPr>
          <w:szCs w:val="22"/>
        </w:rPr>
        <w:t xml:space="preserve">Condition </w:t>
      </w:r>
      <w:r w:rsidR="00370752" w:rsidRPr="00D74432">
        <w:rPr>
          <w:b/>
          <w:szCs w:val="22"/>
        </w:rPr>
        <w:fldChar w:fldCharType="begin"/>
      </w:r>
      <w:r w:rsidR="00370752" w:rsidRPr="00D74432">
        <w:rPr>
          <w:b/>
          <w:szCs w:val="22"/>
        </w:rPr>
        <w:instrText xml:space="preserve"> REF _Ref504382572 \r \h  \* MERGEFORMAT </w:instrText>
      </w:r>
      <w:r w:rsidR="00370752" w:rsidRPr="00D74432">
        <w:rPr>
          <w:b/>
          <w:szCs w:val="22"/>
        </w:rPr>
      </w:r>
      <w:r w:rsidR="00370752" w:rsidRPr="00D74432">
        <w:rPr>
          <w:b/>
          <w:szCs w:val="22"/>
        </w:rPr>
        <w:fldChar w:fldCharType="separate"/>
      </w:r>
      <w:r w:rsidR="00D31800">
        <w:rPr>
          <w:b/>
          <w:szCs w:val="22"/>
        </w:rPr>
        <w:t>B.2</w:t>
      </w:r>
      <w:r w:rsidR="00370752" w:rsidRPr="00D74432">
        <w:rPr>
          <w:b/>
          <w:szCs w:val="22"/>
        </w:rPr>
        <w:fldChar w:fldCharType="end"/>
      </w:r>
      <w:r w:rsidR="00370752" w:rsidRPr="00D74432">
        <w:rPr>
          <w:szCs w:val="22"/>
        </w:rPr>
        <w:t xml:space="preserve"> for utilization</w:t>
      </w:r>
      <w:r w:rsidR="00370752" w:rsidRPr="00C16FF6">
        <w:rPr>
          <w:szCs w:val="22"/>
        </w:rPr>
        <w:t xml:space="preserve"> of ambient temperature versus heat input curves during compliance testing</w:t>
      </w:r>
      <w:r w:rsidR="00370752" w:rsidRPr="002775C9">
        <w:rPr>
          <w:szCs w:val="22"/>
        </w:rPr>
        <w:t>.</w:t>
      </w:r>
      <w:r w:rsidR="00660EA5" w:rsidRPr="002775C9">
        <w:rPr>
          <w:szCs w:val="22"/>
        </w:rPr>
        <w:t xml:space="preserve">  [Rule 62-204.800, F.A.C.</w:t>
      </w:r>
      <w:r w:rsidR="00370752" w:rsidRPr="002775C9">
        <w:rPr>
          <w:szCs w:val="22"/>
        </w:rPr>
        <w:t>; and, Permit No. 0850001-032-AC/PSD-FL-327B &amp; 146C</w:t>
      </w:r>
      <w:r w:rsidR="00660EA5" w:rsidRPr="002775C9">
        <w:rPr>
          <w:szCs w:val="22"/>
        </w:rPr>
        <w:t>]</w:t>
      </w:r>
    </w:p>
    <w:p w14:paraId="2BACF29F" w14:textId="067DFB53" w:rsidR="00A9457D" w:rsidRDefault="00A9457D" w:rsidP="00C638F9">
      <w:pPr>
        <w:numPr>
          <w:ilvl w:val="0"/>
          <w:numId w:val="5"/>
        </w:numPr>
        <w:spacing w:after="120"/>
        <w:rPr>
          <w:szCs w:val="22"/>
        </w:rPr>
      </w:pPr>
      <w:bookmarkStart w:id="124" w:name="_Hlk520375462"/>
      <w:bookmarkEnd w:id="123"/>
      <w:r w:rsidRPr="00583892">
        <w:rPr>
          <w:u w:val="single"/>
        </w:rPr>
        <w:t>Annual</w:t>
      </w:r>
      <w:r w:rsidRPr="00583892">
        <w:rPr>
          <w:b/>
          <w:u w:val="single"/>
        </w:rPr>
        <w:t xml:space="preserve"> </w:t>
      </w:r>
      <w:r w:rsidRPr="007155AF">
        <w:rPr>
          <w:u w:val="single"/>
        </w:rPr>
        <w:t xml:space="preserve">Compliance </w:t>
      </w:r>
      <w:r w:rsidRPr="00583892">
        <w:rPr>
          <w:szCs w:val="22"/>
          <w:u w:val="single"/>
        </w:rPr>
        <w:t>Tests</w:t>
      </w:r>
      <w:r>
        <w:rPr>
          <w:szCs w:val="22"/>
          <w:u w:val="single"/>
        </w:rPr>
        <w:t xml:space="preserve"> Required</w:t>
      </w:r>
      <w:r w:rsidRPr="001274D9">
        <w:rPr>
          <w:szCs w:val="22"/>
        </w:rPr>
        <w:t>.</w:t>
      </w:r>
      <w:r w:rsidRPr="004C6A25">
        <w:rPr>
          <w:szCs w:val="22"/>
        </w:rPr>
        <w:t xml:space="preserve">  </w:t>
      </w:r>
      <w:r w:rsidR="00987F3C" w:rsidRPr="002775C9">
        <w:rPr>
          <w:szCs w:val="22"/>
        </w:rPr>
        <w:t xml:space="preserve">Unless exempted </w:t>
      </w:r>
      <w:r w:rsidR="00603976" w:rsidRPr="002775C9">
        <w:rPr>
          <w:szCs w:val="22"/>
        </w:rPr>
        <w:t>by Chapter 62-297, F.A.C. or Specific Condition</w:t>
      </w:r>
      <w:r w:rsidR="005259FD" w:rsidRPr="002775C9">
        <w:rPr>
          <w:szCs w:val="22"/>
        </w:rPr>
        <w:t xml:space="preserve"> </w:t>
      </w:r>
      <w:r w:rsidR="005259FD" w:rsidRPr="002775C9">
        <w:rPr>
          <w:b/>
          <w:szCs w:val="22"/>
        </w:rPr>
        <w:fldChar w:fldCharType="begin"/>
      </w:r>
      <w:r w:rsidR="005259FD" w:rsidRPr="002775C9">
        <w:rPr>
          <w:b/>
          <w:szCs w:val="22"/>
        </w:rPr>
        <w:instrText xml:space="preserve"> REF _Ref520296365 \r \h  \* MERGEFORMAT </w:instrText>
      </w:r>
      <w:r w:rsidR="005259FD" w:rsidRPr="002775C9">
        <w:rPr>
          <w:b/>
          <w:szCs w:val="22"/>
        </w:rPr>
      </w:r>
      <w:r w:rsidR="005259FD" w:rsidRPr="002775C9">
        <w:rPr>
          <w:b/>
          <w:szCs w:val="22"/>
        </w:rPr>
        <w:fldChar w:fldCharType="separate"/>
      </w:r>
      <w:r w:rsidR="00D31800">
        <w:rPr>
          <w:b/>
          <w:szCs w:val="22"/>
        </w:rPr>
        <w:t>B.30</w:t>
      </w:r>
      <w:r w:rsidR="005259FD" w:rsidRPr="002775C9">
        <w:rPr>
          <w:b/>
          <w:szCs w:val="22"/>
        </w:rPr>
        <w:fldChar w:fldCharType="end"/>
      </w:r>
      <w:r w:rsidR="005259FD" w:rsidRPr="002775C9">
        <w:rPr>
          <w:szCs w:val="22"/>
        </w:rPr>
        <w:t>,</w:t>
      </w:r>
      <w:r w:rsidR="00987F3C" w:rsidRPr="002775C9">
        <w:rPr>
          <w:szCs w:val="22"/>
        </w:rPr>
        <w:t xml:space="preserve"> </w:t>
      </w:r>
      <w:r w:rsidR="00603976" w:rsidRPr="002775C9">
        <w:rPr>
          <w:szCs w:val="22"/>
        </w:rPr>
        <w:t>d</w:t>
      </w:r>
      <w:r w:rsidR="00987F3C" w:rsidRPr="002775C9">
        <w:rPr>
          <w:szCs w:val="22"/>
        </w:rPr>
        <w:t>uring each calendar year (January 1st to December 31st), each CT shall be tested to demonstrate compliance with the emissions standards for</w:t>
      </w:r>
      <w:r w:rsidR="005259FD" w:rsidRPr="002775C9">
        <w:rPr>
          <w:szCs w:val="22"/>
        </w:rPr>
        <w:t xml:space="preserve"> PM (only while firing oil),</w:t>
      </w:r>
      <w:r w:rsidR="00987F3C" w:rsidRPr="002775C9">
        <w:rPr>
          <w:szCs w:val="22"/>
        </w:rPr>
        <w:t xml:space="preserve"> </w:t>
      </w:r>
      <w:r w:rsidR="00987F3C" w:rsidRPr="002775C9">
        <w:rPr>
          <w:caps/>
          <w:szCs w:val="22"/>
        </w:rPr>
        <w:t xml:space="preserve">VE, CO </w:t>
      </w:r>
      <w:r w:rsidR="005259FD" w:rsidRPr="002775C9">
        <w:rPr>
          <w:szCs w:val="22"/>
        </w:rPr>
        <w:t>and</w:t>
      </w:r>
      <w:r w:rsidR="005259FD" w:rsidRPr="002775C9">
        <w:rPr>
          <w:caps/>
          <w:szCs w:val="22"/>
        </w:rPr>
        <w:t xml:space="preserve"> </w:t>
      </w:r>
      <w:r w:rsidR="00987F3C" w:rsidRPr="002775C9">
        <w:rPr>
          <w:caps/>
          <w:szCs w:val="22"/>
        </w:rPr>
        <w:t>NO</w:t>
      </w:r>
      <w:r w:rsidR="00987F3C" w:rsidRPr="002775C9">
        <w:rPr>
          <w:caps/>
          <w:szCs w:val="22"/>
          <w:vertAlign w:val="subscript"/>
        </w:rPr>
        <w:t>X</w:t>
      </w:r>
      <w:r w:rsidR="00987F3C" w:rsidRPr="002775C9">
        <w:rPr>
          <w:szCs w:val="22"/>
        </w:rPr>
        <w:t xml:space="preserve"> </w:t>
      </w:r>
      <w:r w:rsidR="00603976" w:rsidRPr="002775C9">
        <w:rPr>
          <w:szCs w:val="22"/>
        </w:rPr>
        <w:t>for normal gas firing, gas firing with power augmentation and backup distillate oil firing</w:t>
      </w:r>
      <w:r w:rsidR="00987F3C" w:rsidRPr="002775C9">
        <w:rPr>
          <w:szCs w:val="22"/>
        </w:rPr>
        <w:t xml:space="preserve">.  </w:t>
      </w:r>
      <w:r w:rsidR="00661AE9" w:rsidRPr="002775C9">
        <w:rPr>
          <w:szCs w:val="22"/>
        </w:rPr>
        <w:t>CO and NO</w:t>
      </w:r>
      <w:r w:rsidR="00661AE9" w:rsidRPr="002775C9">
        <w:rPr>
          <w:szCs w:val="22"/>
          <w:vertAlign w:val="subscript"/>
        </w:rPr>
        <w:t>X</w:t>
      </w:r>
      <w:r w:rsidR="00661AE9" w:rsidRPr="002775C9">
        <w:rPr>
          <w:szCs w:val="22"/>
        </w:rPr>
        <w:t xml:space="preserve"> compliance tests shall be conducted concurrently.  If conducted at permitted capacity, NO</w:t>
      </w:r>
      <w:r w:rsidR="00661AE9" w:rsidRPr="002775C9">
        <w:rPr>
          <w:szCs w:val="22"/>
          <w:vertAlign w:val="subscript"/>
        </w:rPr>
        <w:t>X</w:t>
      </w:r>
      <w:r w:rsidR="00661AE9" w:rsidRPr="002775C9">
        <w:rPr>
          <w:szCs w:val="22"/>
        </w:rPr>
        <w:t xml:space="preserve"> emissions data collected during the annual NO</w:t>
      </w:r>
      <w:r w:rsidR="00661AE9" w:rsidRPr="002775C9">
        <w:rPr>
          <w:szCs w:val="22"/>
          <w:vertAlign w:val="subscript"/>
        </w:rPr>
        <w:t>X</w:t>
      </w:r>
      <w:r w:rsidR="00661AE9" w:rsidRPr="002775C9">
        <w:rPr>
          <w:szCs w:val="22"/>
        </w:rPr>
        <w:t xml:space="preserve"> CEMS Relative Accuracy Test Audit (RATA), required pursuant to 40 CFR 75, may be substituted for the required annual compliance test.  </w:t>
      </w:r>
      <w:r w:rsidR="00D97A85" w:rsidRPr="002775C9">
        <w:rPr>
          <w:szCs w:val="22"/>
        </w:rPr>
        <w:t>[Rule 62-297.310(</w:t>
      </w:r>
      <w:r w:rsidR="00603976" w:rsidRPr="002775C9">
        <w:rPr>
          <w:szCs w:val="22"/>
        </w:rPr>
        <w:t>8</w:t>
      </w:r>
      <w:r w:rsidR="00D97A85" w:rsidRPr="002775C9">
        <w:rPr>
          <w:szCs w:val="22"/>
        </w:rPr>
        <w:t xml:space="preserve">), F.A.C., and, Permit No. </w:t>
      </w:r>
      <w:r w:rsidR="005259FD" w:rsidRPr="002775C9">
        <w:rPr>
          <w:szCs w:val="22"/>
        </w:rPr>
        <w:t>0850001-016-AC/PSD-FL-327B &amp; 146C</w:t>
      </w:r>
      <w:r w:rsidR="00661AE9" w:rsidRPr="002775C9">
        <w:rPr>
          <w:szCs w:val="22"/>
        </w:rPr>
        <w:t>, Specific Condition 10</w:t>
      </w:r>
      <w:r w:rsidR="00D97A85" w:rsidRPr="002775C9">
        <w:rPr>
          <w:szCs w:val="22"/>
        </w:rPr>
        <w:t>]</w:t>
      </w:r>
      <w:bookmarkEnd w:id="124"/>
    </w:p>
    <w:p w14:paraId="08A9E565" w14:textId="6FB2E15E" w:rsidR="00C973EE" w:rsidRPr="002775C9" w:rsidRDefault="00603976" w:rsidP="00661AE9">
      <w:pPr>
        <w:numPr>
          <w:ilvl w:val="0"/>
          <w:numId w:val="5"/>
        </w:numPr>
        <w:rPr>
          <w:szCs w:val="22"/>
          <w:u w:val="single"/>
        </w:rPr>
      </w:pPr>
      <w:bookmarkStart w:id="125" w:name="_Ref520296365"/>
      <w:bookmarkStart w:id="126" w:name="_Hlk520375627"/>
      <w:r w:rsidRPr="002775C9">
        <w:rPr>
          <w:u w:val="single"/>
        </w:rPr>
        <w:t>Compliance Tests Not Required</w:t>
      </w:r>
      <w:r w:rsidR="00661AE9" w:rsidRPr="002775C9">
        <w:t>.</w:t>
      </w:r>
      <w:bookmarkEnd w:id="125"/>
    </w:p>
    <w:p w14:paraId="3C7CB31D" w14:textId="53F0FDC1" w:rsidR="00661AE9" w:rsidRPr="002775C9" w:rsidRDefault="00661AE9" w:rsidP="00061DE9">
      <w:pPr>
        <w:pStyle w:val="ListParagraph"/>
        <w:numPr>
          <w:ilvl w:val="0"/>
          <w:numId w:val="95"/>
        </w:numPr>
        <w:spacing w:after="120"/>
        <w:rPr>
          <w:szCs w:val="22"/>
        </w:rPr>
      </w:pPr>
      <w:r w:rsidRPr="002775C9">
        <w:rPr>
          <w:i/>
          <w:szCs w:val="22"/>
        </w:rPr>
        <w:t>Power Augmentation</w:t>
      </w:r>
      <w:r w:rsidRPr="002775C9">
        <w:rPr>
          <w:szCs w:val="22"/>
        </w:rPr>
        <w:t>.  Annual compliance tests when operating in power augmentation mode are not required for any CT that operates in power augmentation mode for less than 400 hours in the previous calendar year.</w:t>
      </w:r>
    </w:p>
    <w:p w14:paraId="5F43B099" w14:textId="3697EAA8" w:rsidR="00661AE9" w:rsidRPr="002775C9" w:rsidRDefault="00661AE9" w:rsidP="00061DE9">
      <w:pPr>
        <w:pStyle w:val="ListParagraph"/>
        <w:numPr>
          <w:ilvl w:val="0"/>
          <w:numId w:val="95"/>
        </w:numPr>
        <w:spacing w:after="120"/>
        <w:rPr>
          <w:szCs w:val="22"/>
        </w:rPr>
      </w:pPr>
      <w:r w:rsidRPr="002775C9">
        <w:rPr>
          <w:i/>
          <w:szCs w:val="22"/>
        </w:rPr>
        <w:t>Distillate Oil Firing</w:t>
      </w:r>
      <w:r w:rsidRPr="002775C9">
        <w:rPr>
          <w:szCs w:val="22"/>
        </w:rPr>
        <w:t xml:space="preserve">.  Annual compliance tests when firing distillate oil are not required for any CT that fires distillate oil for less than 400 hours in the previous calendar year.  CTs firing more than 400 hours on oil will also be required to </w:t>
      </w:r>
      <w:r w:rsidR="005259FD" w:rsidRPr="002775C9">
        <w:rPr>
          <w:szCs w:val="22"/>
        </w:rPr>
        <w:t>demonstrate compliance with PM emissions standards.</w:t>
      </w:r>
    </w:p>
    <w:p w14:paraId="091CD00A" w14:textId="75476D4B" w:rsidR="00661AE9" w:rsidRPr="002775C9" w:rsidRDefault="00661AE9" w:rsidP="00661AE9">
      <w:pPr>
        <w:pStyle w:val="ListParagraph"/>
        <w:spacing w:after="120"/>
        <w:ind w:left="360"/>
        <w:rPr>
          <w:szCs w:val="22"/>
        </w:rPr>
      </w:pPr>
      <w:r w:rsidRPr="002775C9">
        <w:rPr>
          <w:szCs w:val="22"/>
        </w:rPr>
        <w:t>[Rule 62-297.310(8); and, Permit No. 0850001-032-AC/PSD-FL-146H &amp; 327F, Specific Condition 10]</w:t>
      </w:r>
      <w:bookmarkEnd w:id="126"/>
    </w:p>
    <w:p w14:paraId="28E72495" w14:textId="50740525" w:rsidR="005259FD" w:rsidRPr="002775C9" w:rsidRDefault="005259FD" w:rsidP="00C638F9">
      <w:pPr>
        <w:numPr>
          <w:ilvl w:val="0"/>
          <w:numId w:val="5"/>
        </w:numPr>
        <w:spacing w:after="120"/>
        <w:rPr>
          <w:szCs w:val="22"/>
        </w:rPr>
      </w:pPr>
      <w:bookmarkStart w:id="127" w:name="_Hlk520375737"/>
      <w:r w:rsidRPr="002775C9">
        <w:rPr>
          <w:szCs w:val="22"/>
          <w:u w:val="single"/>
        </w:rPr>
        <w:t>VOC Compliance Requirements</w:t>
      </w:r>
      <w:r w:rsidRPr="002775C9">
        <w:rPr>
          <w:szCs w:val="22"/>
        </w:rPr>
        <w:t>.  Annual testing and testing prior to permit renewal are only required if the annual CO test indicates an exceedance of the CO emissions standards (see Specific Condition</w:t>
      </w:r>
      <w:r w:rsidR="00F84214">
        <w:rPr>
          <w:szCs w:val="22"/>
        </w:rPr>
        <w:t xml:space="preserve"> </w:t>
      </w:r>
      <w:r w:rsidR="00F84214" w:rsidRPr="00F84214">
        <w:rPr>
          <w:b/>
          <w:szCs w:val="22"/>
        </w:rPr>
        <w:fldChar w:fldCharType="begin"/>
      </w:r>
      <w:r w:rsidR="00F84214" w:rsidRPr="00F84214">
        <w:rPr>
          <w:b/>
          <w:szCs w:val="22"/>
        </w:rPr>
        <w:instrText xml:space="preserve"> REF _Ref503356939 \r \h </w:instrText>
      </w:r>
      <w:r w:rsidR="00F84214">
        <w:rPr>
          <w:b/>
          <w:szCs w:val="22"/>
        </w:rPr>
        <w:instrText xml:space="preserve"> \* MERGEFORMAT </w:instrText>
      </w:r>
      <w:r w:rsidR="00F84214" w:rsidRPr="00F84214">
        <w:rPr>
          <w:b/>
          <w:szCs w:val="22"/>
        </w:rPr>
      </w:r>
      <w:r w:rsidR="00F84214" w:rsidRPr="00F84214">
        <w:rPr>
          <w:b/>
          <w:szCs w:val="22"/>
        </w:rPr>
        <w:fldChar w:fldCharType="separate"/>
      </w:r>
      <w:r w:rsidR="00D31800">
        <w:rPr>
          <w:b/>
          <w:szCs w:val="22"/>
        </w:rPr>
        <w:t>B.6</w:t>
      </w:r>
      <w:r w:rsidR="00F84214" w:rsidRPr="00F84214">
        <w:rPr>
          <w:b/>
          <w:szCs w:val="22"/>
        </w:rPr>
        <w:fldChar w:fldCharType="end"/>
      </w:r>
      <w:r w:rsidRPr="002775C9">
        <w:rPr>
          <w:szCs w:val="22"/>
        </w:rPr>
        <w:t>).  [Permit Nos. PSD-FL-146 &amp; 0850001-032-AC/PSD-FL-146H &amp; 327F, Specific Condition 10]</w:t>
      </w:r>
      <w:bookmarkEnd w:id="127"/>
    </w:p>
    <w:p w14:paraId="3DECD47D" w14:textId="0FD9A029" w:rsidR="007D10A1" w:rsidRPr="002E4D64" w:rsidRDefault="007D10A1" w:rsidP="00C638F9">
      <w:pPr>
        <w:numPr>
          <w:ilvl w:val="0"/>
          <w:numId w:val="5"/>
        </w:numPr>
        <w:spacing w:after="120"/>
        <w:rPr>
          <w:szCs w:val="22"/>
        </w:rPr>
      </w:pPr>
      <w:bookmarkStart w:id="128" w:name="_Hlk520375863"/>
      <w:r w:rsidRPr="00C16FF6">
        <w:rPr>
          <w:szCs w:val="22"/>
          <w:u w:val="single"/>
        </w:rPr>
        <w:t>Compliance Tests Prior To Renewal</w:t>
      </w:r>
      <w:r w:rsidRPr="00C16FF6">
        <w:rPr>
          <w:szCs w:val="22"/>
        </w:rPr>
        <w:t xml:space="preserve">.  </w:t>
      </w:r>
      <w:r w:rsidRPr="00211CF0">
        <w:rPr>
          <w:szCs w:val="22"/>
        </w:rPr>
        <w:t xml:space="preserve">Unless specifically exempted per Florida </w:t>
      </w:r>
      <w:r w:rsidRPr="00A43F67">
        <w:rPr>
          <w:szCs w:val="22"/>
        </w:rPr>
        <w:t>Chapter</w:t>
      </w:r>
      <w:r w:rsidRPr="00211CF0">
        <w:rPr>
          <w:szCs w:val="22"/>
        </w:rPr>
        <w:t xml:space="preserve"> 62-297, F.A.C.</w:t>
      </w:r>
      <w:r>
        <w:rPr>
          <w:szCs w:val="22"/>
        </w:rPr>
        <w:t xml:space="preserve"> </w:t>
      </w:r>
      <w:r w:rsidRPr="00A43F67">
        <w:rPr>
          <w:szCs w:val="22"/>
        </w:rPr>
        <w:t xml:space="preserve">(see condition </w:t>
      </w:r>
      <w:r w:rsidRPr="00A43F67">
        <w:rPr>
          <w:b/>
          <w:szCs w:val="22"/>
        </w:rPr>
        <w:t>TR7.</w:t>
      </w:r>
      <w:r w:rsidRPr="00A43F67">
        <w:rPr>
          <w:szCs w:val="22"/>
        </w:rPr>
        <w:t>b.(3) in Appendix TR – Facility-wide Testing Requirements)</w:t>
      </w:r>
      <w:r w:rsidRPr="00211CF0">
        <w:rPr>
          <w:szCs w:val="22"/>
        </w:rPr>
        <w:t>, p</w:t>
      </w:r>
      <w:r w:rsidRPr="00C16FF6">
        <w:rPr>
          <w:szCs w:val="22"/>
        </w:rPr>
        <w:t xml:space="preserve">rior to permit renewal, compliance tests shall be performed for the following pollutants:  VE, CO, VOC (if the annual CO test indicates an exceedance of the CO </w:t>
      </w:r>
      <w:r w:rsidRPr="00710435">
        <w:rPr>
          <w:szCs w:val="22"/>
        </w:rPr>
        <w:t>standard), NO</w:t>
      </w:r>
      <w:r w:rsidRPr="00710435">
        <w:rPr>
          <w:szCs w:val="22"/>
          <w:vertAlign w:val="subscript"/>
        </w:rPr>
        <w:t>X</w:t>
      </w:r>
      <w:r w:rsidRPr="00710435">
        <w:rPr>
          <w:szCs w:val="22"/>
        </w:rPr>
        <w:t xml:space="preserve"> </w:t>
      </w:r>
      <w:r w:rsidR="00710435" w:rsidRPr="002E4D64">
        <w:rPr>
          <w:szCs w:val="22"/>
        </w:rPr>
        <w:t xml:space="preserve">(if substitution with the 40 CFR 75 RATA is not performed) </w:t>
      </w:r>
      <w:r w:rsidRPr="002E4D64">
        <w:rPr>
          <w:szCs w:val="22"/>
        </w:rPr>
        <w:t>and PM (if oil is fired).</w:t>
      </w:r>
      <w:r w:rsidR="00710435" w:rsidRPr="002E4D64">
        <w:rPr>
          <w:szCs w:val="22"/>
        </w:rPr>
        <w:t xml:space="preserve">  The permittee may submit the most recent compliance test to satisfy this requirement, provided such test occurred within the term of the current operating permit.</w:t>
      </w:r>
      <w:r w:rsidRPr="002E4D64">
        <w:rPr>
          <w:szCs w:val="22"/>
        </w:rPr>
        <w:t xml:space="preserve">  [Rule 62-297.310(</w:t>
      </w:r>
      <w:r w:rsidR="00D415DD" w:rsidRPr="002E4D64">
        <w:rPr>
          <w:szCs w:val="22"/>
        </w:rPr>
        <w:t>8</w:t>
      </w:r>
      <w:r w:rsidRPr="002E4D64">
        <w:rPr>
          <w:szCs w:val="22"/>
        </w:rPr>
        <w:t>)(</w:t>
      </w:r>
      <w:r w:rsidR="00D415DD" w:rsidRPr="002E4D64">
        <w:rPr>
          <w:szCs w:val="22"/>
        </w:rPr>
        <w:t>b</w:t>
      </w:r>
      <w:r w:rsidRPr="002E4D64">
        <w:rPr>
          <w:szCs w:val="22"/>
        </w:rPr>
        <w:t>), F.A.C.; and, 0850001-032-AC</w:t>
      </w:r>
      <w:r w:rsidR="00F57A71" w:rsidRPr="002E4D64">
        <w:rPr>
          <w:szCs w:val="22"/>
        </w:rPr>
        <w:t>/</w:t>
      </w:r>
      <w:r w:rsidRPr="002E4D64">
        <w:rPr>
          <w:szCs w:val="22"/>
        </w:rPr>
        <w:t>PSD-FL-146H</w:t>
      </w:r>
      <w:r w:rsidR="00F57A71" w:rsidRPr="002E4D64">
        <w:rPr>
          <w:szCs w:val="22"/>
        </w:rPr>
        <w:t xml:space="preserve"> &amp; </w:t>
      </w:r>
      <w:r w:rsidRPr="002E4D64">
        <w:rPr>
          <w:szCs w:val="22"/>
        </w:rPr>
        <w:t>PSD-FL-327F]</w:t>
      </w:r>
      <w:bookmarkEnd w:id="128"/>
    </w:p>
    <w:p w14:paraId="0FDFCE09" w14:textId="30DEACAA" w:rsidR="00D415DD" w:rsidRDefault="00D415DD" w:rsidP="00C638F9">
      <w:pPr>
        <w:numPr>
          <w:ilvl w:val="0"/>
          <w:numId w:val="5"/>
        </w:numPr>
        <w:spacing w:after="120"/>
        <w:rPr>
          <w:szCs w:val="22"/>
        </w:rPr>
      </w:pPr>
      <w:r w:rsidRPr="005C7EE6">
        <w:rPr>
          <w:szCs w:val="22"/>
          <w:u w:val="single"/>
        </w:rPr>
        <w:t>Common Testing Requirements</w:t>
      </w:r>
      <w:r w:rsidRPr="005C7EE6">
        <w:rPr>
          <w:szCs w:val="22"/>
        </w:rPr>
        <w:t>.  Unless otherwise specified, tests shall be conducted in accordance with the requirements and procedures specified in Appendix TR, Facility-Wide Testing Requirements, of this permit.  [Rule 62-297.310, F.A.C.]</w:t>
      </w:r>
    </w:p>
    <w:p w14:paraId="0C21EC63" w14:textId="3FFF3495" w:rsidR="00F57A71" w:rsidRDefault="00F57A71" w:rsidP="00C638F9">
      <w:pPr>
        <w:numPr>
          <w:ilvl w:val="0"/>
          <w:numId w:val="5"/>
        </w:numPr>
        <w:spacing w:after="120"/>
        <w:rPr>
          <w:szCs w:val="22"/>
        </w:rPr>
      </w:pPr>
      <w:bookmarkStart w:id="129" w:name="_Hlk520377055"/>
      <w:r w:rsidRPr="005C7EE6">
        <w:rPr>
          <w:szCs w:val="22"/>
          <w:u w:val="single"/>
        </w:rPr>
        <w:t>Sulfur Content</w:t>
      </w:r>
      <w:r w:rsidRPr="005C7EE6">
        <w:rPr>
          <w:szCs w:val="22"/>
        </w:rPr>
        <w:t xml:space="preserve">.  </w:t>
      </w:r>
      <w:r w:rsidRPr="002E4D64">
        <w:rPr>
          <w:szCs w:val="22"/>
        </w:rPr>
        <w:t>The owner or operator shall determine compliance with the sulfur content standard of 0.</w:t>
      </w:r>
      <w:r w:rsidR="00CD765F" w:rsidRPr="002E4D64">
        <w:rPr>
          <w:szCs w:val="22"/>
        </w:rPr>
        <w:t>8</w:t>
      </w:r>
      <w:r w:rsidRPr="002E4D64">
        <w:rPr>
          <w:szCs w:val="22"/>
        </w:rPr>
        <w:t xml:space="preserve"> percent, by weight, by following all requirements of 40 CFR 60.335 </w:t>
      </w:r>
      <w:r w:rsidR="00DD6A72" w:rsidRPr="002E4D64">
        <w:rPr>
          <w:szCs w:val="22"/>
        </w:rPr>
        <w:t>(</w:t>
      </w:r>
      <w:r w:rsidRPr="002E4D64">
        <w:rPr>
          <w:szCs w:val="22"/>
        </w:rPr>
        <w:t>See Appendix NSPS Subpart GG</w:t>
      </w:r>
      <w:r w:rsidR="0005022F" w:rsidRPr="002E4D64">
        <w:rPr>
          <w:szCs w:val="22"/>
        </w:rPr>
        <w:t>)</w:t>
      </w:r>
      <w:r w:rsidRPr="002E4D64">
        <w:rPr>
          <w:szCs w:val="22"/>
        </w:rPr>
        <w:t>.</w:t>
      </w:r>
      <w:r w:rsidRPr="005C7EE6">
        <w:rPr>
          <w:szCs w:val="22"/>
        </w:rPr>
        <w:t xml:space="preserve">  [40 CFR 60.335]</w:t>
      </w:r>
      <w:bookmarkEnd w:id="129"/>
    </w:p>
    <w:p w14:paraId="48427BAE" w14:textId="664FBBB5" w:rsidR="00F57A71" w:rsidRPr="00D415DD" w:rsidRDefault="00F57A71" w:rsidP="00C638F9">
      <w:pPr>
        <w:numPr>
          <w:ilvl w:val="0"/>
          <w:numId w:val="5"/>
        </w:numPr>
        <w:spacing w:after="120"/>
        <w:rPr>
          <w:szCs w:val="22"/>
        </w:rPr>
      </w:pPr>
      <w:bookmarkStart w:id="130" w:name="_Hlk520377177"/>
      <w:r w:rsidRPr="00C16FF6">
        <w:rPr>
          <w:szCs w:val="22"/>
          <w:u w:val="single"/>
        </w:rPr>
        <w:t>Fuel Analysis</w:t>
      </w:r>
      <w:r w:rsidRPr="00C16FF6">
        <w:rPr>
          <w:szCs w:val="22"/>
        </w:rPr>
        <w:t xml:space="preserve">.  To meet the </w:t>
      </w:r>
      <w:r w:rsidRPr="005C7EE6">
        <w:rPr>
          <w:szCs w:val="22"/>
        </w:rPr>
        <w:t>requirements of 40 CFR 60.334,</w:t>
      </w:r>
      <w:r w:rsidRPr="00C16FF6">
        <w:rPr>
          <w:szCs w:val="22"/>
        </w:rPr>
        <w:t xml:space="preserve"> the owner or operator shall use the methods specified in 40 CFR 60.</w:t>
      </w:r>
      <w:r w:rsidRPr="005C7EE6">
        <w:rPr>
          <w:szCs w:val="22"/>
        </w:rPr>
        <w:t>335</w:t>
      </w:r>
      <w:r w:rsidR="00E345D4">
        <w:rPr>
          <w:szCs w:val="22"/>
        </w:rPr>
        <w:t xml:space="preserve"> and </w:t>
      </w:r>
      <w:r w:rsidR="00E345D4" w:rsidRPr="002E4D64">
        <w:rPr>
          <w:szCs w:val="22"/>
        </w:rPr>
        <w:t xml:space="preserve">the Custom Fuel Monitoring Schedule for Natural Gas (See Specific Condition </w:t>
      </w:r>
      <w:r w:rsidR="00E345D4" w:rsidRPr="002E4D64">
        <w:rPr>
          <w:b/>
          <w:szCs w:val="22"/>
        </w:rPr>
        <w:fldChar w:fldCharType="begin"/>
      </w:r>
      <w:r w:rsidR="00E345D4" w:rsidRPr="002E4D64">
        <w:rPr>
          <w:b/>
          <w:szCs w:val="22"/>
        </w:rPr>
        <w:instrText xml:space="preserve"> REF _Ref503451166 \r \h  \* MERGEFORMAT </w:instrText>
      </w:r>
      <w:r w:rsidR="00E345D4" w:rsidRPr="002E4D64">
        <w:rPr>
          <w:b/>
          <w:szCs w:val="22"/>
        </w:rPr>
      </w:r>
      <w:r w:rsidR="00E345D4" w:rsidRPr="002E4D64">
        <w:rPr>
          <w:b/>
          <w:szCs w:val="22"/>
        </w:rPr>
        <w:fldChar w:fldCharType="separate"/>
      </w:r>
      <w:r w:rsidR="00D31800">
        <w:rPr>
          <w:b/>
          <w:szCs w:val="22"/>
        </w:rPr>
        <w:t>B.18</w:t>
      </w:r>
      <w:r w:rsidR="00E345D4" w:rsidRPr="002E4D64">
        <w:rPr>
          <w:b/>
          <w:szCs w:val="22"/>
        </w:rPr>
        <w:fldChar w:fldCharType="end"/>
      </w:r>
      <w:r w:rsidR="00E345D4" w:rsidRPr="002E4D64">
        <w:rPr>
          <w:szCs w:val="22"/>
        </w:rPr>
        <w:t>)</w:t>
      </w:r>
      <w:r w:rsidRPr="00C16FF6">
        <w:rPr>
          <w:szCs w:val="22"/>
        </w:rPr>
        <w:t xml:space="preserve"> to determine the </w:t>
      </w:r>
      <w:r w:rsidRPr="005C7EE6">
        <w:rPr>
          <w:szCs w:val="22"/>
        </w:rPr>
        <w:t xml:space="preserve">nitrogen and </w:t>
      </w:r>
      <w:r w:rsidRPr="00C16FF6">
        <w:rPr>
          <w:szCs w:val="22"/>
        </w:rPr>
        <w:t>sulfur content of the fuel being burned.  The analysis may be performed by the owner or operator, a service contractor retained by the owner or operator, the fuel vendor, or any other qualified agency.  [</w:t>
      </w:r>
      <w:r w:rsidRPr="00124648">
        <w:rPr>
          <w:szCs w:val="22"/>
        </w:rPr>
        <w:t>40</w:t>
      </w:r>
      <w:r w:rsidRPr="00C16FF6">
        <w:rPr>
          <w:szCs w:val="22"/>
        </w:rPr>
        <w:t xml:space="preserve"> CFR 60.</w:t>
      </w:r>
      <w:r w:rsidRPr="005A3195">
        <w:rPr>
          <w:szCs w:val="22"/>
        </w:rPr>
        <w:t>335</w:t>
      </w:r>
      <w:r w:rsidRPr="00C16FF6">
        <w:rPr>
          <w:szCs w:val="22"/>
        </w:rPr>
        <w:t>]</w:t>
      </w:r>
      <w:bookmarkEnd w:id="130"/>
    </w:p>
    <w:p w14:paraId="58955C44" w14:textId="0E28B19B" w:rsidR="00EE783D" w:rsidRDefault="00E971D6" w:rsidP="00C638F9">
      <w:pPr>
        <w:numPr>
          <w:ilvl w:val="0"/>
          <w:numId w:val="5"/>
        </w:numPr>
        <w:spacing w:after="120"/>
        <w:rPr>
          <w:szCs w:val="22"/>
        </w:rPr>
      </w:pPr>
      <w:bookmarkStart w:id="131" w:name="_Hlk520377696"/>
      <w:r w:rsidRPr="002E4D64">
        <w:rPr>
          <w:szCs w:val="22"/>
          <w:u w:val="single"/>
        </w:rPr>
        <w:t>Distillate Oil Sulfur Content</w:t>
      </w:r>
      <w:r w:rsidR="00E7258D" w:rsidRPr="002E4D64">
        <w:rPr>
          <w:szCs w:val="22"/>
          <w:u w:val="single"/>
        </w:rPr>
        <w:t xml:space="preserve"> Testing</w:t>
      </w:r>
      <w:r w:rsidRPr="00EE783D">
        <w:rPr>
          <w:szCs w:val="22"/>
        </w:rPr>
        <w:t xml:space="preserve">.  </w:t>
      </w:r>
      <w:r w:rsidRPr="006E0F7A">
        <w:rPr>
          <w:szCs w:val="22"/>
        </w:rPr>
        <w:t>The average sulfur content of the light distillate oil shall not exceed 0.3%, by weight, during any consecutive 12-month period.  The maximum sulfur content of the light distillate fuel oil shall not exceed 0.5%, by weight.</w:t>
      </w:r>
      <w:r w:rsidRPr="00EE783D">
        <w:rPr>
          <w:szCs w:val="22"/>
        </w:rPr>
        <w:t xml:space="preserve">  The 12-month average sulfur content</w:t>
      </w:r>
      <w:r w:rsidR="00E7258D">
        <w:rPr>
          <w:szCs w:val="22"/>
        </w:rPr>
        <w:t xml:space="preserve"> </w:t>
      </w:r>
      <w:r w:rsidRPr="00EE783D">
        <w:rPr>
          <w:szCs w:val="22"/>
        </w:rPr>
        <w:t>shall be calculated as a weighted average based upon the sulfur content of the oil and the amount burned on a daily basis.  Compliance shall be demonstrated in accordance with the requirements of 40 CFR 60.334 by testing for sulfur content, for nitrogen content, and for heating value of oil storage tanks once per day when firing oil using ASTM D 2880-96.  [Rule 62-213.440, F.A.C.; applicant agreement with EPA on March 3, 1998; and PSD-FL-146, Specific Condition No. 11]</w:t>
      </w:r>
      <w:bookmarkEnd w:id="131"/>
    </w:p>
    <w:p w14:paraId="1B9C84AE" w14:textId="60B7B9EA" w:rsidR="003E57F2" w:rsidRDefault="00711FD5" w:rsidP="00711FD5">
      <w:pPr>
        <w:spacing w:after="120"/>
      </w:pPr>
      <w:r>
        <w:rPr>
          <w:b/>
          <w:u w:val="single"/>
        </w:rPr>
        <w:t>Recordkeeping and Reporting Requirements</w:t>
      </w:r>
    </w:p>
    <w:p w14:paraId="7542E14D" w14:textId="1C7548DE" w:rsidR="00EE783D" w:rsidRDefault="00EE783D" w:rsidP="00C638F9">
      <w:pPr>
        <w:numPr>
          <w:ilvl w:val="0"/>
          <w:numId w:val="5"/>
        </w:numPr>
        <w:spacing w:after="120"/>
      </w:pPr>
      <w:bookmarkStart w:id="132" w:name="_Hlk520442109"/>
      <w:r w:rsidRPr="0095785A">
        <w:rPr>
          <w:u w:val="single"/>
        </w:rPr>
        <w:t>Reporting Schedule</w:t>
      </w:r>
      <w:r w:rsidRPr="00993ABC">
        <w:t>.  The following reports and notifications shall be submitted to the Compliance Authority:</w:t>
      </w:r>
    </w:p>
    <w:tbl>
      <w:tblPr>
        <w:tblW w:w="10497" w:type="dxa"/>
        <w:tblInd w:w="46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3927"/>
        <w:gridCol w:w="4163"/>
        <w:gridCol w:w="2407"/>
      </w:tblGrid>
      <w:tr w:rsidR="00EE783D" w:rsidRPr="00060DE6" w14:paraId="1B801411" w14:textId="77777777" w:rsidTr="00A6113C">
        <w:tc>
          <w:tcPr>
            <w:tcW w:w="3927" w:type="dxa"/>
            <w:tcBorders>
              <w:top w:val="single" w:sz="12" w:space="0" w:color="auto"/>
              <w:bottom w:val="single" w:sz="12" w:space="0" w:color="auto"/>
            </w:tcBorders>
            <w:vAlign w:val="center"/>
          </w:tcPr>
          <w:p w14:paraId="7578CA48" w14:textId="77777777" w:rsidR="00EE783D" w:rsidRPr="00060DE6" w:rsidRDefault="00EE783D" w:rsidP="009C04B7">
            <w:pPr>
              <w:tabs>
                <w:tab w:val="left" w:pos="360"/>
                <w:tab w:val="left" w:pos="720"/>
                <w:tab w:val="left" w:pos="1080"/>
                <w:tab w:val="left" w:pos="1440"/>
                <w:tab w:val="left" w:pos="1800"/>
                <w:tab w:val="left" w:pos="2160"/>
              </w:tabs>
              <w:spacing w:line="-240" w:lineRule="auto"/>
              <w:rPr>
                <w:b/>
              </w:rPr>
            </w:pPr>
            <w:r w:rsidRPr="00060DE6">
              <w:rPr>
                <w:b/>
              </w:rPr>
              <w:t>Report</w:t>
            </w:r>
          </w:p>
        </w:tc>
        <w:tc>
          <w:tcPr>
            <w:tcW w:w="4163" w:type="dxa"/>
            <w:tcBorders>
              <w:top w:val="single" w:sz="12" w:space="0" w:color="auto"/>
              <w:bottom w:val="single" w:sz="12" w:space="0" w:color="auto"/>
            </w:tcBorders>
            <w:vAlign w:val="center"/>
          </w:tcPr>
          <w:p w14:paraId="35F533ED" w14:textId="77777777" w:rsidR="00EE783D" w:rsidRPr="00060DE6" w:rsidRDefault="00EE783D" w:rsidP="009C04B7">
            <w:pPr>
              <w:tabs>
                <w:tab w:val="left" w:pos="360"/>
                <w:tab w:val="left" w:pos="720"/>
                <w:tab w:val="left" w:pos="1080"/>
                <w:tab w:val="left" w:pos="1440"/>
                <w:tab w:val="left" w:pos="1800"/>
                <w:tab w:val="left" w:pos="2160"/>
              </w:tabs>
              <w:spacing w:line="-240" w:lineRule="auto"/>
              <w:rPr>
                <w:b/>
              </w:rPr>
            </w:pPr>
            <w:r w:rsidRPr="00060DE6">
              <w:rPr>
                <w:b/>
              </w:rPr>
              <w:t>Reporting Deadline</w:t>
            </w:r>
          </w:p>
        </w:tc>
        <w:tc>
          <w:tcPr>
            <w:tcW w:w="2407" w:type="dxa"/>
            <w:tcBorders>
              <w:top w:val="single" w:sz="12" w:space="0" w:color="auto"/>
              <w:bottom w:val="single" w:sz="12" w:space="0" w:color="auto"/>
            </w:tcBorders>
            <w:vAlign w:val="center"/>
          </w:tcPr>
          <w:p w14:paraId="1AD5EA09" w14:textId="77777777" w:rsidR="00EE783D" w:rsidRPr="00060DE6" w:rsidRDefault="00EE783D" w:rsidP="009C04B7">
            <w:pPr>
              <w:tabs>
                <w:tab w:val="left" w:pos="360"/>
                <w:tab w:val="left" w:pos="720"/>
                <w:tab w:val="left" w:pos="1080"/>
                <w:tab w:val="left" w:pos="1440"/>
                <w:tab w:val="left" w:pos="1800"/>
                <w:tab w:val="left" w:pos="2160"/>
              </w:tabs>
              <w:spacing w:line="-240" w:lineRule="auto"/>
              <w:rPr>
                <w:b/>
              </w:rPr>
            </w:pPr>
            <w:r w:rsidRPr="00060DE6">
              <w:rPr>
                <w:b/>
              </w:rPr>
              <w:t>Related Condition(s)</w:t>
            </w:r>
          </w:p>
        </w:tc>
      </w:tr>
      <w:tr w:rsidR="00A6113C" w:rsidRPr="002E4D64" w14:paraId="0FCAECD5" w14:textId="77777777" w:rsidTr="00AD50A6">
        <w:tc>
          <w:tcPr>
            <w:tcW w:w="3927" w:type="dxa"/>
            <w:tcBorders>
              <w:top w:val="single" w:sz="12" w:space="0" w:color="auto"/>
            </w:tcBorders>
            <w:vAlign w:val="center"/>
          </w:tcPr>
          <w:p w14:paraId="1B8E9DE1" w14:textId="502E72E8" w:rsidR="00A6113C" w:rsidRPr="002E4D64" w:rsidRDefault="00A6113C" w:rsidP="00AD50A6">
            <w:pPr>
              <w:pStyle w:val="BodyText"/>
              <w:spacing w:before="60" w:after="60"/>
              <w:ind w:right="144"/>
            </w:pPr>
            <w:r w:rsidRPr="002E4D64">
              <w:rPr>
                <w:szCs w:val="22"/>
              </w:rPr>
              <w:t>NSPS 40 CFR 60 Subpart GG Reports</w:t>
            </w:r>
          </w:p>
        </w:tc>
        <w:tc>
          <w:tcPr>
            <w:tcW w:w="4163" w:type="dxa"/>
            <w:tcBorders>
              <w:top w:val="single" w:sz="12" w:space="0" w:color="auto"/>
            </w:tcBorders>
            <w:vAlign w:val="center"/>
          </w:tcPr>
          <w:p w14:paraId="494B8213" w14:textId="23F82DF1" w:rsidR="00A6113C" w:rsidRPr="002E4D64" w:rsidRDefault="00DE7152" w:rsidP="00AD50A6">
            <w:pPr>
              <w:suppressAutoHyphens/>
              <w:spacing w:before="60" w:after="60"/>
              <w:ind w:right="144"/>
            </w:pPr>
            <w:r w:rsidRPr="002E4D64">
              <w:rPr>
                <w:szCs w:val="22"/>
              </w:rPr>
              <w:t>Semiannually.</w:t>
            </w:r>
          </w:p>
        </w:tc>
        <w:tc>
          <w:tcPr>
            <w:tcW w:w="2407" w:type="dxa"/>
            <w:tcBorders>
              <w:top w:val="single" w:sz="12" w:space="0" w:color="auto"/>
            </w:tcBorders>
            <w:vAlign w:val="center"/>
          </w:tcPr>
          <w:p w14:paraId="70C9FBB9" w14:textId="116ADC21" w:rsidR="00A6113C" w:rsidRPr="002E4D64" w:rsidRDefault="00A6113C" w:rsidP="00AD50A6">
            <w:pPr>
              <w:pStyle w:val="BodyText"/>
              <w:spacing w:before="60" w:after="60"/>
              <w:ind w:right="144"/>
            </w:pPr>
            <w:r w:rsidRPr="002E4D64">
              <w:rPr>
                <w:b/>
                <w:szCs w:val="22"/>
              </w:rPr>
              <w:fldChar w:fldCharType="begin"/>
            </w:r>
            <w:r w:rsidRPr="002E4D64">
              <w:rPr>
                <w:b/>
                <w:szCs w:val="22"/>
              </w:rPr>
              <w:instrText xml:space="preserve"> REF _Ref503508438 \r \h  \* MERGEFORMAT </w:instrText>
            </w:r>
            <w:r w:rsidRPr="002E4D64">
              <w:rPr>
                <w:b/>
                <w:szCs w:val="22"/>
              </w:rPr>
            </w:r>
            <w:r w:rsidRPr="002E4D64">
              <w:rPr>
                <w:b/>
                <w:szCs w:val="22"/>
              </w:rPr>
              <w:fldChar w:fldCharType="separate"/>
            </w:r>
            <w:r w:rsidR="00D31800">
              <w:rPr>
                <w:b/>
                <w:szCs w:val="22"/>
              </w:rPr>
              <w:t>B.41</w:t>
            </w:r>
            <w:r w:rsidRPr="002E4D64">
              <w:rPr>
                <w:b/>
                <w:szCs w:val="22"/>
              </w:rPr>
              <w:fldChar w:fldCharType="end"/>
            </w:r>
          </w:p>
        </w:tc>
      </w:tr>
      <w:tr w:rsidR="009828CA" w:rsidRPr="002E4D64" w14:paraId="4FCE4E56" w14:textId="77777777" w:rsidTr="00AD50A6">
        <w:tc>
          <w:tcPr>
            <w:tcW w:w="3927" w:type="dxa"/>
            <w:vAlign w:val="center"/>
          </w:tcPr>
          <w:p w14:paraId="76EC6E55" w14:textId="37ED78FC" w:rsidR="009828CA" w:rsidRPr="002E4D64" w:rsidRDefault="009828CA" w:rsidP="009828CA">
            <w:pPr>
              <w:pStyle w:val="BodyText"/>
              <w:spacing w:before="60" w:after="60"/>
              <w:ind w:right="144"/>
            </w:pPr>
            <w:r w:rsidRPr="002E4D64">
              <w:t>Inlet Fogger Operation Reporting</w:t>
            </w:r>
          </w:p>
        </w:tc>
        <w:tc>
          <w:tcPr>
            <w:tcW w:w="4163" w:type="dxa"/>
            <w:vAlign w:val="center"/>
          </w:tcPr>
          <w:p w14:paraId="6751B39B" w14:textId="0989BF13" w:rsidR="009828CA" w:rsidRPr="002E4D64" w:rsidRDefault="009828CA" w:rsidP="009828CA">
            <w:pPr>
              <w:suppressAutoHyphens/>
              <w:spacing w:before="60" w:after="60"/>
              <w:ind w:right="144"/>
            </w:pPr>
            <w:r w:rsidRPr="002E4D64">
              <w:t>Annually</w:t>
            </w:r>
          </w:p>
        </w:tc>
        <w:tc>
          <w:tcPr>
            <w:tcW w:w="2407" w:type="dxa"/>
            <w:vAlign w:val="center"/>
          </w:tcPr>
          <w:p w14:paraId="44641D8C" w14:textId="46A2B985" w:rsidR="009828CA" w:rsidRPr="002E4D64" w:rsidRDefault="009828CA" w:rsidP="009828CA">
            <w:pPr>
              <w:pStyle w:val="BodyText"/>
              <w:spacing w:before="60" w:after="60"/>
              <w:ind w:right="144"/>
              <w:rPr>
                <w:b/>
              </w:rPr>
            </w:pPr>
            <w:r w:rsidRPr="002E4D64">
              <w:rPr>
                <w:b/>
              </w:rPr>
              <w:fldChar w:fldCharType="begin"/>
            </w:r>
            <w:r w:rsidRPr="002E4D64">
              <w:rPr>
                <w:b/>
              </w:rPr>
              <w:instrText xml:space="preserve"> REF _Ref523391253 \r \h  \* MERGEFORMAT </w:instrText>
            </w:r>
            <w:r w:rsidRPr="002E4D64">
              <w:rPr>
                <w:b/>
              </w:rPr>
            </w:r>
            <w:r w:rsidRPr="002E4D64">
              <w:rPr>
                <w:b/>
              </w:rPr>
              <w:fldChar w:fldCharType="separate"/>
            </w:r>
            <w:r w:rsidR="00D31800">
              <w:rPr>
                <w:b/>
              </w:rPr>
              <w:t>B.44</w:t>
            </w:r>
            <w:r w:rsidRPr="002E4D64">
              <w:rPr>
                <w:b/>
              </w:rPr>
              <w:fldChar w:fldCharType="end"/>
            </w:r>
          </w:p>
        </w:tc>
      </w:tr>
    </w:tbl>
    <w:p w14:paraId="5A792B23" w14:textId="7443AE54" w:rsidR="00EE783D" w:rsidRPr="002E4D64" w:rsidRDefault="00EE783D" w:rsidP="00EE783D">
      <w:pPr>
        <w:spacing w:after="120"/>
        <w:ind w:left="360"/>
      </w:pPr>
      <w:r w:rsidRPr="002E4D64">
        <w:t>[Rule 62-213.440(1)(b), F.A.C.]</w:t>
      </w:r>
    </w:p>
    <w:bookmarkEnd w:id="132"/>
    <w:p w14:paraId="6383BB42" w14:textId="204E9418" w:rsidR="00EE783D" w:rsidRDefault="00EE783D" w:rsidP="00C638F9">
      <w:pPr>
        <w:numPr>
          <w:ilvl w:val="0"/>
          <w:numId w:val="5"/>
        </w:numPr>
        <w:spacing w:after="120"/>
      </w:pPr>
      <w:r w:rsidRPr="00EE783D">
        <w:rPr>
          <w:u w:val="single"/>
        </w:rPr>
        <w:t>Other Reporting Requirements</w:t>
      </w:r>
      <w:r>
        <w:t xml:space="preserve">.  </w:t>
      </w:r>
      <w:r w:rsidRPr="008E6BC8">
        <w:t xml:space="preserve">See </w:t>
      </w:r>
      <w:r w:rsidRPr="008E6BC8">
        <w:rPr>
          <w:bCs/>
        </w:rPr>
        <w:t>Appendix RR, Facility-Wide Reporting Requirements</w:t>
      </w:r>
      <w:r w:rsidRPr="008E6BC8">
        <w:t>, for additional reporting requirements.</w:t>
      </w:r>
      <w:r>
        <w:t xml:space="preserve">  [Rule 62-213.440</w:t>
      </w:r>
      <w:r w:rsidRPr="002E4D64">
        <w:t>(1)(b)</w:t>
      </w:r>
      <w:r>
        <w:t>, F.A.C.]</w:t>
      </w:r>
    </w:p>
    <w:p w14:paraId="0194312B" w14:textId="22154C94" w:rsidR="004B20E1" w:rsidRDefault="004B20E1" w:rsidP="00C638F9">
      <w:pPr>
        <w:numPr>
          <w:ilvl w:val="0"/>
          <w:numId w:val="5"/>
        </w:numPr>
        <w:spacing w:after="120"/>
      </w:pPr>
      <w:r>
        <w:rPr>
          <w:u w:val="single"/>
        </w:rPr>
        <w:t>Fuel Oil Usage</w:t>
      </w:r>
      <w:r>
        <w:t xml:space="preserve">.  </w:t>
      </w:r>
      <w:r>
        <w:rPr>
          <w:szCs w:val="22"/>
        </w:rPr>
        <w:t>To determine compliance with the oil firing heat input limitation, the permittee shall maintain daily records of fuel oil consumption and hourly usage for each turbine and heating value for each fuel.  All records shall be maintained for a minimum of five (5) years after the date of each record and shall be made available to representatives of the Department upon request.  [Permit No. PSD-FL-146, Specific Condition No. 14]</w:t>
      </w:r>
    </w:p>
    <w:p w14:paraId="235DD138" w14:textId="10C13704" w:rsidR="009C04B7" w:rsidRPr="00DE6867" w:rsidRDefault="009C04B7" w:rsidP="00C638F9">
      <w:pPr>
        <w:numPr>
          <w:ilvl w:val="0"/>
          <w:numId w:val="5"/>
        </w:numPr>
        <w:spacing w:after="120"/>
      </w:pPr>
      <w:r>
        <w:rPr>
          <w:u w:val="single"/>
        </w:rPr>
        <w:t>Annual Testing</w:t>
      </w:r>
      <w:r>
        <w:t xml:space="preserve">.  </w:t>
      </w:r>
      <w:r w:rsidR="00600614">
        <w:rPr>
          <w:szCs w:val="22"/>
        </w:rPr>
        <w:t>Fifteen days’ notice before subsequent annual testing shall be provided to the Southeast District Office.  Written reports of the tests shall be submitted to the Southeast District Office within 45 days of test completion.  [Permit No. PSD-FL-146, Specific Condition No. 17]</w:t>
      </w:r>
    </w:p>
    <w:p w14:paraId="37F6D5D7" w14:textId="34410C6C" w:rsidR="00EA7F6E" w:rsidRPr="002E4D64" w:rsidRDefault="00D038DE" w:rsidP="00EA7F6E">
      <w:pPr>
        <w:numPr>
          <w:ilvl w:val="0"/>
          <w:numId w:val="5"/>
        </w:numPr>
      </w:pPr>
      <w:bookmarkStart w:id="133" w:name="_Ref503508438"/>
      <w:r w:rsidRPr="002E4D64">
        <w:rPr>
          <w:szCs w:val="22"/>
          <w:u w:val="single"/>
        </w:rPr>
        <w:t xml:space="preserve">Semiannual </w:t>
      </w:r>
      <w:r w:rsidR="00DE6867" w:rsidRPr="002E4D64">
        <w:rPr>
          <w:szCs w:val="22"/>
          <w:u w:val="single"/>
        </w:rPr>
        <w:t>Reports</w:t>
      </w:r>
      <w:r w:rsidR="00DE6867" w:rsidRPr="002E4D64">
        <w:rPr>
          <w:szCs w:val="22"/>
        </w:rPr>
        <w:t xml:space="preserve">.  </w:t>
      </w:r>
      <w:r w:rsidR="00A6113C" w:rsidRPr="002E4D64">
        <w:rPr>
          <w:szCs w:val="22"/>
        </w:rPr>
        <w:t xml:space="preserve">Semiannual </w:t>
      </w:r>
      <w:r w:rsidR="00DE6867" w:rsidRPr="002E4D64">
        <w:rPr>
          <w:szCs w:val="22"/>
        </w:rPr>
        <w:t>excess emission reports, in accordance with 40 CFR 60.7 and 60.334, shall be submitted to the</w:t>
      </w:r>
      <w:r w:rsidR="00A6113C" w:rsidRPr="002E4D64">
        <w:rPr>
          <w:szCs w:val="22"/>
        </w:rPr>
        <w:t xml:space="preserve"> Compliance Authority</w:t>
      </w:r>
      <w:r w:rsidR="00DE6867" w:rsidRPr="002E4D64">
        <w:rPr>
          <w:szCs w:val="22"/>
        </w:rPr>
        <w:t xml:space="preserve">.  Annual reports shall be submitted to the </w:t>
      </w:r>
      <w:r w:rsidR="00A6113C" w:rsidRPr="002E4D64">
        <w:rPr>
          <w:szCs w:val="22"/>
        </w:rPr>
        <w:t>Compliance Authority</w:t>
      </w:r>
      <w:r w:rsidR="00DE6867" w:rsidRPr="002E4D64">
        <w:rPr>
          <w:szCs w:val="22"/>
        </w:rPr>
        <w:t xml:space="preserve"> office in accordance with </w:t>
      </w:r>
      <w:r w:rsidR="002A6E71" w:rsidRPr="002E4D64">
        <w:rPr>
          <w:szCs w:val="22"/>
        </w:rPr>
        <w:t xml:space="preserve">Condition </w:t>
      </w:r>
      <w:r w:rsidR="002A6E71" w:rsidRPr="002E4D64">
        <w:rPr>
          <w:b/>
          <w:szCs w:val="22"/>
        </w:rPr>
        <w:t>TR9.</w:t>
      </w:r>
      <w:r w:rsidR="002A6E71" w:rsidRPr="002E4D64">
        <w:rPr>
          <w:szCs w:val="22"/>
        </w:rPr>
        <w:t xml:space="preserve"> </w:t>
      </w:r>
      <w:r w:rsidR="001F3B82" w:rsidRPr="002E4D64">
        <w:rPr>
          <w:szCs w:val="22"/>
        </w:rPr>
        <w:t>in</w:t>
      </w:r>
      <w:r w:rsidR="002A6E71" w:rsidRPr="002E4D64">
        <w:rPr>
          <w:szCs w:val="22"/>
        </w:rPr>
        <w:t xml:space="preserve"> Appendix TR</w:t>
      </w:r>
      <w:r w:rsidR="001F3B82" w:rsidRPr="002E4D64">
        <w:rPr>
          <w:szCs w:val="22"/>
        </w:rPr>
        <w:t xml:space="preserve"> – Facility-wide Testing Requirements</w:t>
      </w:r>
      <w:r w:rsidR="00DE6867" w:rsidRPr="002E4D64">
        <w:rPr>
          <w:szCs w:val="22"/>
        </w:rPr>
        <w:t>.</w:t>
      </w:r>
      <w:r w:rsidR="00EA7F6E" w:rsidRPr="002E4D64">
        <w:rPr>
          <w:szCs w:val="22"/>
        </w:rPr>
        <w:t xml:space="preserve">  Semiannual reports shall be postmarked by the </w:t>
      </w:r>
      <w:r w:rsidR="00F2791D" w:rsidRPr="002E4D64">
        <w:rPr>
          <w:szCs w:val="22"/>
        </w:rPr>
        <w:t>60</w:t>
      </w:r>
      <w:r w:rsidR="00EA7F6E" w:rsidRPr="002E4D64">
        <w:rPr>
          <w:szCs w:val="22"/>
          <w:vertAlign w:val="superscript"/>
        </w:rPr>
        <w:t>th</w:t>
      </w:r>
      <w:r w:rsidR="00EA7F6E" w:rsidRPr="002E4D64">
        <w:rPr>
          <w:szCs w:val="22"/>
        </w:rPr>
        <w:t xml:space="preserve"> day following the end of each 6-month period.  Each semiannual report shall include the following:</w:t>
      </w:r>
    </w:p>
    <w:p w14:paraId="197C733C" w14:textId="77777777" w:rsidR="004F04CA" w:rsidRPr="002E4D64" w:rsidRDefault="004F04CA" w:rsidP="00061DE9">
      <w:pPr>
        <w:pStyle w:val="ListParagraph"/>
        <w:numPr>
          <w:ilvl w:val="0"/>
          <w:numId w:val="13"/>
        </w:numPr>
        <w:spacing w:after="120"/>
      </w:pPr>
      <w:r w:rsidRPr="002E4D64">
        <w:rPr>
          <w:szCs w:val="22"/>
        </w:rPr>
        <w:t>The magnitude of excess emissions computed in accordance with 40 CFR 60.13(h), any conversion factor(s) used, and the date and time of commencement and completion of each time period of excess emissions.  The process operating time during the reporting period.</w:t>
      </w:r>
    </w:p>
    <w:p w14:paraId="565D7B0B" w14:textId="77777777" w:rsidR="004F04CA" w:rsidRPr="002E4D64" w:rsidRDefault="004F04CA" w:rsidP="00061DE9">
      <w:pPr>
        <w:pStyle w:val="ListParagraph"/>
        <w:numPr>
          <w:ilvl w:val="0"/>
          <w:numId w:val="13"/>
        </w:numPr>
        <w:spacing w:after="120"/>
      </w:pPr>
      <w:r w:rsidRPr="002E4D64">
        <w:rPr>
          <w:szCs w:val="22"/>
        </w:rPr>
        <w:t>Specific identification of each period of excess emissions that occurs during startups, shutdowns, and malfunctions of the affected facility.  The nature and cause of any malfunction (if known), the corrective action taken or preventative measures adopted.</w:t>
      </w:r>
    </w:p>
    <w:p w14:paraId="5B464251" w14:textId="77777777" w:rsidR="004F04CA" w:rsidRPr="002E4D64" w:rsidRDefault="004F04CA" w:rsidP="00061DE9">
      <w:pPr>
        <w:pStyle w:val="ListParagraph"/>
        <w:numPr>
          <w:ilvl w:val="0"/>
          <w:numId w:val="13"/>
        </w:numPr>
        <w:spacing w:after="120"/>
      </w:pPr>
      <w:r w:rsidRPr="002E4D64">
        <w:rPr>
          <w:szCs w:val="22"/>
        </w:rPr>
        <w:t>The date and time identifying each period during which the continuous monitoring system was inoperative except for zero and span checks and the nature of the system repairs or adjustments.</w:t>
      </w:r>
    </w:p>
    <w:p w14:paraId="316AF7CA" w14:textId="5CF03684" w:rsidR="004F04CA" w:rsidRPr="002E4D64" w:rsidRDefault="004F04CA" w:rsidP="00061DE9">
      <w:pPr>
        <w:pStyle w:val="ListParagraph"/>
        <w:numPr>
          <w:ilvl w:val="0"/>
          <w:numId w:val="13"/>
        </w:numPr>
      </w:pPr>
      <w:r w:rsidRPr="002E4D64">
        <w:rPr>
          <w:szCs w:val="22"/>
        </w:rPr>
        <w:t>When no excess emissions have occurred or the continuous monitoring system(s) have not been inoperative, repaired, or adjusted, such information shall be stated in the report.</w:t>
      </w:r>
    </w:p>
    <w:p w14:paraId="06683FA5" w14:textId="27B043E6" w:rsidR="00C813AB" w:rsidRPr="002E4D64" w:rsidRDefault="00C813AB" w:rsidP="00061DE9">
      <w:pPr>
        <w:pStyle w:val="ListParagraph"/>
        <w:numPr>
          <w:ilvl w:val="0"/>
          <w:numId w:val="13"/>
        </w:numPr>
      </w:pPr>
      <w:r w:rsidRPr="002E4D64">
        <w:t xml:space="preserve">Ambient conditions (temperature, pressure and humidity) at the time of the excess emission period.  If the worst case ISO correction factor, as specified in 40 CFR 60.334(b)(3)(ii), is used; or, if the ISO correction equation under the provisions of 40 CFR 60.335(b)(1) is not used, the ambient conditions do not have to be reported.  </w:t>
      </w:r>
    </w:p>
    <w:p w14:paraId="669BD265" w14:textId="41F001D4" w:rsidR="00C813AB" w:rsidRPr="002E4D64" w:rsidRDefault="00C813AB" w:rsidP="00061DE9">
      <w:pPr>
        <w:pStyle w:val="ListParagraph"/>
        <w:numPr>
          <w:ilvl w:val="0"/>
          <w:numId w:val="13"/>
        </w:numPr>
      </w:pPr>
      <w:r w:rsidRPr="002E4D64">
        <w:t>The nitrogen content of the fuel during the period of excess emissions (only if the permittee has claimed an emission allowance for fuel bound nitrogen).</w:t>
      </w:r>
    </w:p>
    <w:p w14:paraId="2F8306B8" w14:textId="22D24899" w:rsidR="00370A3C" w:rsidRPr="002E4D64" w:rsidRDefault="00370A3C" w:rsidP="00061DE9">
      <w:pPr>
        <w:pStyle w:val="ListParagraph"/>
        <w:numPr>
          <w:ilvl w:val="0"/>
          <w:numId w:val="13"/>
        </w:numPr>
      </w:pPr>
      <w:r w:rsidRPr="002E4D64">
        <w:t xml:space="preserve">If applicable, a summary report form completed in accordance with Specific Condition </w:t>
      </w:r>
      <w:r w:rsidRPr="002E4D64">
        <w:rPr>
          <w:b/>
        </w:rPr>
        <w:fldChar w:fldCharType="begin"/>
      </w:r>
      <w:r w:rsidRPr="002E4D64">
        <w:rPr>
          <w:b/>
        </w:rPr>
        <w:instrText xml:space="preserve"> REF _Ref504383315 \r \h  \* MERGEFORMAT </w:instrText>
      </w:r>
      <w:r w:rsidRPr="002E4D64">
        <w:rPr>
          <w:b/>
        </w:rPr>
      </w:r>
      <w:r w:rsidRPr="002E4D64">
        <w:rPr>
          <w:b/>
        </w:rPr>
        <w:fldChar w:fldCharType="separate"/>
      </w:r>
      <w:r w:rsidR="00D31800">
        <w:rPr>
          <w:b/>
        </w:rPr>
        <w:t>B.43</w:t>
      </w:r>
      <w:r w:rsidRPr="002E4D64">
        <w:rPr>
          <w:b/>
        </w:rPr>
        <w:fldChar w:fldCharType="end"/>
      </w:r>
      <w:r w:rsidRPr="002E4D64">
        <w:t>.</w:t>
      </w:r>
    </w:p>
    <w:p w14:paraId="5F683F29" w14:textId="42897F7A" w:rsidR="00DE6867" w:rsidRPr="002E4D64" w:rsidRDefault="00DE6867" w:rsidP="00EA7F6E">
      <w:pPr>
        <w:spacing w:after="120"/>
        <w:ind w:left="360"/>
      </w:pPr>
      <w:r w:rsidRPr="002E4D64">
        <w:rPr>
          <w:szCs w:val="22"/>
        </w:rPr>
        <w:t>[</w:t>
      </w:r>
      <w:r w:rsidR="00370A3C" w:rsidRPr="002E4D64">
        <w:rPr>
          <w:szCs w:val="22"/>
        </w:rPr>
        <w:t>40 CFR 60.7(c), (d)</w:t>
      </w:r>
      <w:r w:rsidR="00B87677" w:rsidRPr="002E4D64">
        <w:rPr>
          <w:szCs w:val="22"/>
        </w:rPr>
        <w:t>, 60.19(c)</w:t>
      </w:r>
      <w:r w:rsidR="00370A3C" w:rsidRPr="002E4D64">
        <w:rPr>
          <w:szCs w:val="22"/>
        </w:rPr>
        <w:t xml:space="preserve"> &amp; 60.334(j)(1)(iii)(C); and, </w:t>
      </w:r>
      <w:r w:rsidRPr="002E4D64">
        <w:rPr>
          <w:szCs w:val="22"/>
        </w:rPr>
        <w:t>Permit No</w:t>
      </w:r>
      <w:r w:rsidR="00370A3C" w:rsidRPr="002E4D64">
        <w:rPr>
          <w:szCs w:val="22"/>
        </w:rPr>
        <w:t>s</w:t>
      </w:r>
      <w:r w:rsidRPr="002E4D64">
        <w:rPr>
          <w:szCs w:val="22"/>
        </w:rPr>
        <w:t>. PSD-FL-146, Specific Condition No. 19</w:t>
      </w:r>
      <w:r w:rsidR="00A6113C" w:rsidRPr="002E4D64">
        <w:rPr>
          <w:szCs w:val="22"/>
        </w:rPr>
        <w:t xml:space="preserve"> &amp; 0850001-041-AC/PSD-FL-146J &amp; 327G</w:t>
      </w:r>
      <w:r w:rsidRPr="002E4D64">
        <w:rPr>
          <w:szCs w:val="22"/>
        </w:rPr>
        <w:t>]</w:t>
      </w:r>
      <w:bookmarkEnd w:id="133"/>
    </w:p>
    <w:p w14:paraId="65F6E544" w14:textId="2DA6F405" w:rsidR="001F3B82" w:rsidRPr="001F3B82" w:rsidRDefault="001F3B82" w:rsidP="00C638F9">
      <w:pPr>
        <w:numPr>
          <w:ilvl w:val="0"/>
          <w:numId w:val="5"/>
        </w:numPr>
        <w:spacing w:after="120"/>
      </w:pPr>
      <w:r w:rsidRPr="00C16FF6">
        <w:rPr>
          <w:szCs w:val="22"/>
          <w:u w:val="single"/>
        </w:rPr>
        <w:t>Records</w:t>
      </w:r>
      <w:r w:rsidRPr="00C16FF6">
        <w:rPr>
          <w:szCs w:val="22"/>
        </w:rPr>
        <w:t>.  The owner or operator subject to the provisions of 40 CFR 60 shall maintain records of the occurrence and duration of any startup, shutdown, or malfunction in the operation of an affected facility; any malfunction of the air pollution control equipment; or, any periods during which a continuous monitoring system or monitoring device is inoperative.  [40 CFR 60.7(b)]</w:t>
      </w:r>
    </w:p>
    <w:p w14:paraId="5799137C" w14:textId="3E866274" w:rsidR="00DA7CC9" w:rsidRPr="002E4D64" w:rsidRDefault="00DA7CC9" w:rsidP="00DA7CC9">
      <w:pPr>
        <w:numPr>
          <w:ilvl w:val="0"/>
          <w:numId w:val="5"/>
        </w:numPr>
        <w:rPr>
          <w:szCs w:val="22"/>
        </w:rPr>
      </w:pPr>
      <w:bookmarkStart w:id="134" w:name="_Ref504383315"/>
      <w:r w:rsidRPr="00DA7CC9">
        <w:rPr>
          <w:szCs w:val="22"/>
          <w:u w:val="single"/>
        </w:rPr>
        <w:t>Summary Reports</w:t>
      </w:r>
      <w:r w:rsidRPr="00DA7CC9">
        <w:rPr>
          <w:szCs w:val="22"/>
        </w:rPr>
        <w:t xml:space="preserve">.  </w:t>
      </w:r>
      <w:r w:rsidRPr="002E4D64">
        <w:rPr>
          <w:szCs w:val="22"/>
        </w:rPr>
        <w:t>The summary report form shall contain the information and be in the format shown in Figure 1 (attached) unless otherwise specified by the Department.  One summary report form shall be submitted for each pollutant monitored at each affected facility.</w:t>
      </w:r>
      <w:bookmarkEnd w:id="134"/>
    </w:p>
    <w:p w14:paraId="268D707D" w14:textId="447BC01A" w:rsidR="00DA7CC9" w:rsidRPr="002E4D64" w:rsidRDefault="00DA7CC9" w:rsidP="00061DE9">
      <w:pPr>
        <w:numPr>
          <w:ilvl w:val="0"/>
          <w:numId w:val="98"/>
        </w:numPr>
        <w:rPr>
          <w:szCs w:val="22"/>
        </w:rPr>
      </w:pPr>
      <w:r w:rsidRPr="002E4D64">
        <w:rPr>
          <w:szCs w:val="22"/>
        </w:rPr>
        <w:t>If the total duration of excess emissions for the reporting period is less than 1 percent of the total operating time for the reporting period and CMS downtime for the reporting period is less than 5 percent of the total operating time for the reporting period, only the summary report form shall be submitted and the excess emission report described in 40 CFR 60.7 need not be submitted unless requested by the Department.</w:t>
      </w:r>
    </w:p>
    <w:p w14:paraId="1B21293B" w14:textId="77777777" w:rsidR="00DA7CC9" w:rsidRPr="002E4D64" w:rsidRDefault="00DA7CC9" w:rsidP="00061DE9">
      <w:pPr>
        <w:numPr>
          <w:ilvl w:val="0"/>
          <w:numId w:val="98"/>
        </w:numPr>
        <w:rPr>
          <w:szCs w:val="22"/>
        </w:rPr>
      </w:pPr>
      <w:r w:rsidRPr="002E4D64">
        <w:rPr>
          <w:szCs w:val="22"/>
        </w:rPr>
        <w:t>If the total duration of excess emissions for the reporting period is 1 percent or greater of the total operating time for the reporting period or the total CMS downtime for the reporting period is 5 percent or greater of the total operating time for the reporting period, the summary report form and the excess emission report described in 40 CFR 60.7 shall both be submitted.</w:t>
      </w:r>
    </w:p>
    <w:p w14:paraId="1019C2D4" w14:textId="5A85759E" w:rsidR="001F3B82" w:rsidRPr="002E4D64" w:rsidRDefault="002E4D64" w:rsidP="00DA7CC9">
      <w:pPr>
        <w:pStyle w:val="ListParagraph"/>
        <w:spacing w:after="120"/>
        <w:ind w:left="360"/>
        <w:contextualSpacing w:val="0"/>
        <w:rPr>
          <w:szCs w:val="22"/>
        </w:rPr>
      </w:pPr>
      <w:r w:rsidRPr="002E4D64">
        <w:rPr>
          <w:szCs w:val="22"/>
        </w:rPr>
        <w:t xml:space="preserve"> </w:t>
      </w:r>
      <w:r w:rsidR="00DA7CC9" w:rsidRPr="002E4D64">
        <w:rPr>
          <w:szCs w:val="22"/>
        </w:rPr>
        <w:t>[40 CFR 60.7(d)]</w:t>
      </w:r>
    </w:p>
    <w:p w14:paraId="425FF3F2" w14:textId="42A6B745" w:rsidR="00DA7CC9" w:rsidRPr="002E4D64" w:rsidRDefault="00DA7CC9" w:rsidP="00DA7CC9">
      <w:pPr>
        <w:pStyle w:val="ListParagraph"/>
        <w:spacing w:after="120"/>
        <w:ind w:left="360"/>
        <w:contextualSpacing w:val="0"/>
        <w:rPr>
          <w:i/>
          <w:szCs w:val="22"/>
        </w:rPr>
      </w:pPr>
      <w:r w:rsidRPr="002E4D64">
        <w:rPr>
          <w:i/>
          <w:szCs w:val="22"/>
        </w:rPr>
        <w:t>{Permitting Note:  See Referenced Attachments for Figure 1:  Summary Report-Gaseous and Opacity Excess Emission and Monitoring System Performance (40 CFR 60, July, 1996).}</w:t>
      </w:r>
    </w:p>
    <w:p w14:paraId="796E5C6D" w14:textId="3A70BD76" w:rsidR="009828CA" w:rsidRPr="002E4D64" w:rsidRDefault="009828CA" w:rsidP="00C638F9">
      <w:pPr>
        <w:numPr>
          <w:ilvl w:val="0"/>
          <w:numId w:val="5"/>
        </w:numPr>
        <w:spacing w:after="120"/>
        <w:rPr>
          <w:szCs w:val="22"/>
        </w:rPr>
      </w:pPr>
      <w:bookmarkStart w:id="135" w:name="_Ref523391253"/>
      <w:bookmarkStart w:id="136" w:name="_Hlk523392596"/>
      <w:r w:rsidRPr="002E4D64">
        <w:rPr>
          <w:szCs w:val="22"/>
          <w:u w:val="single"/>
        </w:rPr>
        <w:t>Inlet Fogger Operation Reporting</w:t>
      </w:r>
      <w:r w:rsidRPr="002E4D64">
        <w:rPr>
          <w:szCs w:val="22"/>
        </w:rPr>
        <w:t>.  The total hours of inlet fogger operation for the foggers of these emissions units shall be summed and submitted to the Compliance and Permitting Authorities with the Annual Operation Report.  [Permit No. 0850001-041-AC/PSD-FL-146J and 327G]</w:t>
      </w:r>
      <w:bookmarkEnd w:id="135"/>
    </w:p>
    <w:bookmarkEnd w:id="136"/>
    <w:p w14:paraId="0192E28A" w14:textId="0CDC45CC" w:rsidR="003F2456" w:rsidRPr="00C16FF6" w:rsidRDefault="003F2456" w:rsidP="00C638F9">
      <w:pPr>
        <w:numPr>
          <w:ilvl w:val="0"/>
          <w:numId w:val="5"/>
        </w:numPr>
        <w:spacing w:after="120"/>
        <w:rPr>
          <w:szCs w:val="22"/>
        </w:rPr>
      </w:pPr>
      <w:r w:rsidRPr="00C16FF6">
        <w:rPr>
          <w:szCs w:val="22"/>
          <w:u w:val="single"/>
        </w:rPr>
        <w:t>Files</w:t>
      </w:r>
      <w:r w:rsidRPr="00C16FF6">
        <w:rPr>
          <w:szCs w:val="22"/>
        </w:rPr>
        <w:t>.  The owner or operator subject to the provisions of 40 CFR 60 shall maintain a file of all measurements, including continuous monitoring system, monitoring device, and performance testing measurements; all continuous monitoring system performance evaluations; all continuous monitoring system or monitoring device calibration checks; adjustments and maintenance performed on these systems or devices; and, all other information required by 40 CFR 60 recorded in a permanent form suitable for inspection.  The file shall be retained for at least 5 (five) years following the date of such measurements, maintenance, reports, and records.  [40 CFR 60.7(f); and Rule 62-213.440, F.A.C.]</w:t>
      </w:r>
    </w:p>
    <w:p w14:paraId="467BBEB9" w14:textId="11E4AA36" w:rsidR="00EE783D" w:rsidRDefault="001B31FD" w:rsidP="001B31FD">
      <w:pPr>
        <w:pStyle w:val="ListParagraph"/>
        <w:spacing w:after="120"/>
        <w:ind w:left="0"/>
        <w:contextualSpacing w:val="0"/>
      </w:pPr>
      <w:r>
        <w:rPr>
          <w:b/>
          <w:u w:val="single"/>
        </w:rPr>
        <w:t>Other Requirements</w:t>
      </w:r>
    </w:p>
    <w:p w14:paraId="0C62A3CD" w14:textId="4A9A064B" w:rsidR="001B31FD" w:rsidRPr="00F469E8" w:rsidRDefault="001B31FD" w:rsidP="00C638F9">
      <w:pPr>
        <w:numPr>
          <w:ilvl w:val="0"/>
          <w:numId w:val="5"/>
        </w:numPr>
        <w:spacing w:after="120"/>
      </w:pPr>
      <w:bookmarkStart w:id="137" w:name="_Hlk520443191"/>
      <w:r w:rsidRPr="00DE7152">
        <w:rPr>
          <w:szCs w:val="22"/>
          <w:u w:val="single"/>
        </w:rPr>
        <w:t>NSPS Requirements</w:t>
      </w:r>
      <w:r w:rsidRPr="00DE7152">
        <w:rPr>
          <w:szCs w:val="22"/>
        </w:rPr>
        <w:t>.</w:t>
      </w:r>
      <w:r w:rsidRPr="00DD59E0">
        <w:rPr>
          <w:szCs w:val="22"/>
        </w:rPr>
        <w:t xml:space="preserve">  This unit shall comply with all applicable provisions of NSPS in 40 CFR 60 including Subpart A (General Provisions) and Subpart </w:t>
      </w:r>
      <w:r>
        <w:rPr>
          <w:szCs w:val="22"/>
        </w:rPr>
        <w:t>GG</w:t>
      </w:r>
      <w:r w:rsidRPr="00DD59E0">
        <w:rPr>
          <w:szCs w:val="22"/>
        </w:rPr>
        <w:t xml:space="preserve"> (Standards of Performance for S</w:t>
      </w:r>
      <w:r>
        <w:rPr>
          <w:szCs w:val="22"/>
        </w:rPr>
        <w:t>tationary Gas Turbines</w:t>
      </w:r>
      <w:r w:rsidRPr="00DD59E0">
        <w:rPr>
          <w:szCs w:val="22"/>
        </w:rPr>
        <w:t xml:space="preserve">).  See Appendix NSPS Subpart A and Appendix NSPS Subpart </w:t>
      </w:r>
      <w:r>
        <w:rPr>
          <w:szCs w:val="22"/>
        </w:rPr>
        <w:t>GG</w:t>
      </w:r>
      <w:r w:rsidRPr="00DD59E0">
        <w:rPr>
          <w:szCs w:val="22"/>
        </w:rPr>
        <w:t xml:space="preserve"> for provisions of NSPS Subparts A </w:t>
      </w:r>
      <w:r w:rsidRPr="002E4D64">
        <w:rPr>
          <w:szCs w:val="22"/>
        </w:rPr>
        <w:t xml:space="preserve">and </w:t>
      </w:r>
      <w:r w:rsidR="00DE7152" w:rsidRPr="002E4D64">
        <w:rPr>
          <w:szCs w:val="22"/>
        </w:rPr>
        <w:t>GG</w:t>
      </w:r>
      <w:r w:rsidRPr="00DD59E0">
        <w:rPr>
          <w:szCs w:val="22"/>
        </w:rPr>
        <w:t>, respectively.  [Rule 62-204.800(8)(b)4</w:t>
      </w:r>
      <w:r w:rsidR="00F469E8">
        <w:rPr>
          <w:szCs w:val="22"/>
        </w:rPr>
        <w:t>2</w:t>
      </w:r>
      <w:r w:rsidRPr="00DD59E0">
        <w:rPr>
          <w:szCs w:val="22"/>
        </w:rPr>
        <w:t xml:space="preserve">. &amp; (8)(d), F.A.C.; and, 40 CFR 60, Subparts A &amp; </w:t>
      </w:r>
      <w:r w:rsidR="00F469E8">
        <w:rPr>
          <w:szCs w:val="22"/>
        </w:rPr>
        <w:t>GG</w:t>
      </w:r>
      <w:r w:rsidRPr="00DD59E0">
        <w:rPr>
          <w:szCs w:val="22"/>
        </w:rPr>
        <w:t>]</w:t>
      </w:r>
      <w:bookmarkEnd w:id="137"/>
    </w:p>
    <w:p w14:paraId="692FA4C8" w14:textId="5653BF68" w:rsidR="002D39D2" w:rsidRDefault="00585225" w:rsidP="002D39D2">
      <w:pPr>
        <w:tabs>
          <w:tab w:val="left" w:pos="0"/>
        </w:tabs>
        <w:suppressAutoHyphens/>
        <w:spacing w:before="120" w:after="120"/>
      </w:pPr>
      <w:hyperlink w:anchor="TableofContents" w:tooltip=" " w:history="1">
        <w:r w:rsidR="002D39D2" w:rsidRPr="00C638F9">
          <w:rPr>
            <w:rStyle w:val="Hyperlink"/>
          </w:rPr>
          <w:t>Table of Contents</w:t>
        </w:r>
      </w:hyperlink>
    </w:p>
    <w:p w14:paraId="2B4A7D44" w14:textId="1A034BD8" w:rsidR="00F469E8" w:rsidRPr="002D39D2" w:rsidRDefault="00F469E8" w:rsidP="007E601A">
      <w:pPr>
        <w:spacing w:after="120"/>
      </w:pPr>
    </w:p>
    <w:p w14:paraId="43F96771" w14:textId="77777777" w:rsidR="00FA5992" w:rsidRPr="00D63ADF" w:rsidRDefault="00FA5992" w:rsidP="00FF5A1F">
      <w:pPr>
        <w:spacing w:after="120"/>
        <w:ind w:left="720"/>
        <w:sectPr w:rsidR="00FA5992" w:rsidRPr="00D63ADF" w:rsidSect="000A0A5C">
          <w:headerReference w:type="even" r:id="rId53"/>
          <w:headerReference w:type="default" r:id="rId54"/>
          <w:headerReference w:type="first" r:id="rId55"/>
          <w:pgSz w:w="12240" w:h="15840" w:code="1"/>
          <w:pgMar w:top="1080" w:right="1080" w:bottom="1080" w:left="1080" w:header="720" w:footer="720" w:gutter="0"/>
          <w:paperSrc w:first="15" w:other="15"/>
          <w:cols w:space="720"/>
        </w:sectPr>
      </w:pPr>
    </w:p>
    <w:p w14:paraId="2BE02F15" w14:textId="77777777" w:rsidR="00004B5C" w:rsidRPr="00B91D1B" w:rsidRDefault="00004B5C" w:rsidP="00511F14">
      <w:pPr>
        <w:spacing w:after="60"/>
        <w:rPr>
          <w:szCs w:val="22"/>
        </w:rPr>
      </w:pPr>
      <w:bookmarkStart w:id="138" w:name="Section3C"/>
      <w:bookmarkEnd w:id="138"/>
      <w:r>
        <w:rPr>
          <w:b/>
        </w:rPr>
        <w:t>Subsection C.  The specific conditions in this section apply to the following emissions units:</w:t>
      </w:r>
    </w:p>
    <w:tbl>
      <w:tblPr>
        <w:tblW w:w="9959" w:type="dxa"/>
        <w:tblInd w:w="103"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top w:w="43" w:type="dxa"/>
          <w:left w:w="72" w:type="dxa"/>
          <w:bottom w:w="43" w:type="dxa"/>
          <w:right w:w="72" w:type="dxa"/>
        </w:tblCellMar>
        <w:tblLook w:val="0000" w:firstRow="0" w:lastRow="0" w:firstColumn="0" w:lastColumn="0" w:noHBand="0" w:noVBand="0"/>
      </w:tblPr>
      <w:tblGrid>
        <w:gridCol w:w="939"/>
        <w:gridCol w:w="9020"/>
      </w:tblGrid>
      <w:tr w:rsidR="00511F14" w14:paraId="2376D0C9" w14:textId="77777777" w:rsidTr="00511F14">
        <w:tc>
          <w:tcPr>
            <w:tcW w:w="939" w:type="dxa"/>
            <w:tcBorders>
              <w:top w:val="single" w:sz="12" w:space="0" w:color="auto"/>
              <w:bottom w:val="single" w:sz="12" w:space="0" w:color="auto"/>
            </w:tcBorders>
          </w:tcPr>
          <w:p w14:paraId="5FCC05FF" w14:textId="77777777" w:rsidR="00511F14" w:rsidRPr="00D075B0" w:rsidRDefault="00511F14" w:rsidP="00E37B60">
            <w:pPr>
              <w:jc w:val="center"/>
              <w:rPr>
                <w:b/>
                <w:szCs w:val="22"/>
              </w:rPr>
            </w:pPr>
            <w:r w:rsidRPr="00D075B0">
              <w:rPr>
                <w:szCs w:val="22"/>
              </w:rPr>
              <w:br w:type="page"/>
            </w:r>
            <w:r w:rsidRPr="00D075B0">
              <w:rPr>
                <w:szCs w:val="22"/>
              </w:rPr>
              <w:br w:type="page"/>
            </w:r>
            <w:r w:rsidRPr="00D075B0">
              <w:rPr>
                <w:b/>
                <w:szCs w:val="22"/>
              </w:rPr>
              <w:t>EU No.</w:t>
            </w:r>
          </w:p>
        </w:tc>
        <w:tc>
          <w:tcPr>
            <w:tcW w:w="9020" w:type="dxa"/>
            <w:tcBorders>
              <w:top w:val="single" w:sz="12" w:space="0" w:color="auto"/>
              <w:bottom w:val="single" w:sz="12" w:space="0" w:color="auto"/>
            </w:tcBorders>
          </w:tcPr>
          <w:p w14:paraId="310EE513" w14:textId="77777777" w:rsidR="00511F14" w:rsidRPr="00D075B0" w:rsidRDefault="00511F14" w:rsidP="00E37B60">
            <w:pPr>
              <w:rPr>
                <w:b/>
                <w:szCs w:val="22"/>
              </w:rPr>
            </w:pPr>
            <w:r w:rsidRPr="00D075B0">
              <w:rPr>
                <w:b/>
                <w:szCs w:val="22"/>
              </w:rPr>
              <w:t>Brief Description</w:t>
            </w:r>
          </w:p>
        </w:tc>
      </w:tr>
      <w:tr w:rsidR="00511F14" w14:paraId="449ADB03" w14:textId="77777777" w:rsidTr="00511F14">
        <w:tc>
          <w:tcPr>
            <w:tcW w:w="939" w:type="dxa"/>
            <w:tcBorders>
              <w:top w:val="single" w:sz="12" w:space="0" w:color="auto"/>
            </w:tcBorders>
            <w:vAlign w:val="center"/>
          </w:tcPr>
          <w:p w14:paraId="2034826B" w14:textId="6B7FCBBB" w:rsidR="00511F14" w:rsidRPr="007F1134" w:rsidRDefault="00511F14" w:rsidP="00511F14">
            <w:pPr>
              <w:jc w:val="center"/>
              <w:rPr>
                <w:szCs w:val="22"/>
              </w:rPr>
            </w:pPr>
            <w:r w:rsidRPr="007F1134">
              <w:rPr>
                <w:szCs w:val="22"/>
              </w:rPr>
              <w:t>026</w:t>
            </w:r>
          </w:p>
        </w:tc>
        <w:tc>
          <w:tcPr>
            <w:tcW w:w="9020" w:type="dxa"/>
            <w:tcBorders>
              <w:top w:val="single" w:sz="12" w:space="0" w:color="auto"/>
            </w:tcBorders>
          </w:tcPr>
          <w:p w14:paraId="197BFCB8" w14:textId="41698B9F" w:rsidR="00511F14" w:rsidRPr="007F1134" w:rsidRDefault="00511F14" w:rsidP="00511F14">
            <w:pPr>
              <w:rPr>
                <w:szCs w:val="22"/>
              </w:rPr>
            </w:pPr>
            <w:r w:rsidRPr="007F1134">
              <w:t>13.23 MMBtu/hr Auxiliary Boiler – New</w:t>
            </w:r>
          </w:p>
        </w:tc>
      </w:tr>
    </w:tbl>
    <w:p w14:paraId="3A653A63" w14:textId="5AD326E0" w:rsidR="00511F14" w:rsidRPr="00C16FF6" w:rsidRDefault="00511F14" w:rsidP="00511F14">
      <w:pPr>
        <w:spacing w:before="120" w:after="120"/>
        <w:rPr>
          <w:szCs w:val="22"/>
        </w:rPr>
      </w:pPr>
      <w:r w:rsidRPr="00C96AC1">
        <w:rPr>
          <w:szCs w:val="22"/>
        </w:rPr>
        <w:t>This unit is a 13.23 MMBtu/hr Vapor Circulatic model VG-5907-SHK-350 auxiliary boiler used to produce steam to actuate the steam seals on the steam</w:t>
      </w:r>
      <w:r w:rsidRPr="00C96AC1">
        <w:rPr>
          <w:b/>
          <w:szCs w:val="22"/>
        </w:rPr>
        <w:t xml:space="preserve"> </w:t>
      </w:r>
      <w:r w:rsidRPr="00C96AC1">
        <w:rPr>
          <w:szCs w:val="22"/>
        </w:rPr>
        <w:t>turbine components of the combined-cycle units (Emissions Units 003, 004, 005, and 006) during cold starts when steam is not</w:t>
      </w:r>
      <w:r w:rsidRPr="00C96AC1">
        <w:rPr>
          <w:b/>
          <w:szCs w:val="22"/>
        </w:rPr>
        <w:t xml:space="preserve"> </w:t>
      </w:r>
      <w:r w:rsidRPr="00C96AC1">
        <w:rPr>
          <w:szCs w:val="22"/>
        </w:rPr>
        <w:t>otherwise</w:t>
      </w:r>
      <w:r w:rsidRPr="00C96AC1">
        <w:rPr>
          <w:b/>
          <w:szCs w:val="22"/>
        </w:rPr>
        <w:t xml:space="preserve"> </w:t>
      </w:r>
      <w:r w:rsidRPr="00C96AC1">
        <w:rPr>
          <w:szCs w:val="22"/>
        </w:rPr>
        <w:t xml:space="preserve">available for this purpose.  The 13.23 MMBtu/hr heat input rate is reflective of the auxiliary boiler (11.73MMBtu/hr) and the super heater (1.5MMBTU/hr) while firing natural gas.  Initial startup of the auxiliary boiler was on September 7, 2017.  </w:t>
      </w:r>
      <w:r w:rsidR="008848B2">
        <w:rPr>
          <w:szCs w:val="22"/>
        </w:rPr>
        <w:t xml:space="preserve">Exhaust gas exits a 60 ft stack with a diameter of 3.6 ft at a flow rate of 30,536 acfm, an exit velocity of 50 fps and a temperature of 490⁰F.  </w:t>
      </w:r>
    </w:p>
    <w:p w14:paraId="587DBFB4" w14:textId="77777777" w:rsidR="00511F14" w:rsidRPr="00C16FF6" w:rsidRDefault="00511F14" w:rsidP="00511F14">
      <w:pPr>
        <w:spacing w:after="120"/>
        <w:rPr>
          <w:szCs w:val="22"/>
        </w:rPr>
      </w:pPr>
      <w:r w:rsidRPr="00C16FF6">
        <w:rPr>
          <w:szCs w:val="22"/>
        </w:rPr>
        <w:t>Because the unit has no installed pollution control devices, the unit is not subject to compliance assurance monitoring (CAM).</w:t>
      </w:r>
    </w:p>
    <w:p w14:paraId="70D3514A" w14:textId="32EDFC11" w:rsidR="00004B5C" w:rsidRDefault="00511F14" w:rsidP="00511F14">
      <w:pPr>
        <w:spacing w:before="120" w:after="120"/>
        <w:rPr>
          <w:i/>
          <w:szCs w:val="22"/>
        </w:rPr>
      </w:pPr>
      <w:r w:rsidRPr="00C16FF6">
        <w:rPr>
          <w:i/>
          <w:szCs w:val="22"/>
        </w:rPr>
        <w:t xml:space="preserve">{Permitting Note:  The emissions unit is regulated under NSPS </w:t>
      </w:r>
      <w:r w:rsidR="007F1134">
        <w:rPr>
          <w:i/>
          <w:szCs w:val="22"/>
        </w:rPr>
        <w:t>–</w:t>
      </w:r>
      <w:r w:rsidRPr="00C16FF6">
        <w:rPr>
          <w:i/>
          <w:szCs w:val="22"/>
        </w:rPr>
        <w:t xml:space="preserve"> 40</w:t>
      </w:r>
      <w:r w:rsidR="007F1134">
        <w:rPr>
          <w:i/>
          <w:szCs w:val="22"/>
        </w:rPr>
        <w:t xml:space="preserve"> </w:t>
      </w:r>
      <w:r w:rsidRPr="00C16FF6">
        <w:rPr>
          <w:i/>
          <w:szCs w:val="22"/>
        </w:rPr>
        <w:t xml:space="preserve">CFR 60.40c, Subpart Dc, Standards of Performance for Small Industrial-Commercial-Institutional Steam Generating Units; adopted and incorporated by reference in Rule 62-204.800(8), F.A.C. (Although subject to regulation pursuant to Subpart Dc, no emissions limiting standards apply due to the firing of only natural gas and to being less than 30 MMBtu/hr in size); </w:t>
      </w:r>
      <w:r w:rsidRPr="00C16FF6">
        <w:rPr>
          <w:i/>
        </w:rPr>
        <w:t xml:space="preserve">Rule 62-296.406, F.A.C., </w:t>
      </w:r>
      <w:r w:rsidRPr="00C96AC1">
        <w:rPr>
          <w:i/>
        </w:rPr>
        <w:t xml:space="preserve">Fossil Fuel Steam Generators with Less Than 250 Million Btu Per Hour Heat Input, </w:t>
      </w:r>
      <w:r w:rsidRPr="00C96AC1">
        <w:rPr>
          <w:i/>
          <w:szCs w:val="22"/>
        </w:rPr>
        <w:t>Air Construction Permit No. 0850001-039-AC; and, 40 CFR Part 63 Subpart DDDDD, NESHAP for Industrial, Commercial, and Institutional Boilers and Process Heaters, adopted and incorporated by reference in Rule 62-204.800(11)(b)86., F.A.C.}</w:t>
      </w:r>
    </w:p>
    <w:p w14:paraId="222461D1" w14:textId="65456985" w:rsidR="008848B2" w:rsidRPr="008848B2" w:rsidRDefault="008848B2" w:rsidP="00511F14">
      <w:pPr>
        <w:spacing w:before="120" w:after="120"/>
      </w:pPr>
      <w:r>
        <w:rPr>
          <w:b/>
          <w:u w:val="single"/>
        </w:rPr>
        <w:t>Essential Potential to Emit (PTE) Parameters</w:t>
      </w:r>
    </w:p>
    <w:p w14:paraId="75E281E9" w14:textId="6E04E475" w:rsidR="009F0075" w:rsidRPr="007C53A9" w:rsidRDefault="000E18E2" w:rsidP="00061DE9">
      <w:pPr>
        <w:pStyle w:val="ListParagraph"/>
        <w:numPr>
          <w:ilvl w:val="0"/>
          <w:numId w:val="16"/>
        </w:numPr>
        <w:suppressAutoHyphens/>
        <w:spacing w:before="120" w:after="120"/>
        <w:ind w:left="360"/>
        <w:contextualSpacing w:val="0"/>
        <w:rPr>
          <w:b/>
        </w:rPr>
      </w:pPr>
      <w:r w:rsidRPr="000E18E2">
        <w:rPr>
          <w:szCs w:val="22"/>
          <w:u w:val="single"/>
        </w:rPr>
        <w:t>Design Capacity</w:t>
      </w:r>
      <w:r w:rsidRPr="000E18E2">
        <w:rPr>
          <w:szCs w:val="22"/>
        </w:rPr>
        <w:t xml:space="preserve">.  The design heat input to the Auxiliary Boiler is </w:t>
      </w:r>
      <w:r w:rsidRPr="000E18E2">
        <w:rPr>
          <w:color w:val="000000"/>
          <w:szCs w:val="22"/>
        </w:rPr>
        <w:t>13.23 MMBtu/hour heat input rate.  This capacity is reflective of both the auxiliary boiler (11.73 MMBtu/hr) and the super heater (1.5 MMBtu/hr)</w:t>
      </w:r>
      <w:r w:rsidRPr="000E18E2">
        <w:rPr>
          <w:szCs w:val="22"/>
        </w:rPr>
        <w:t xml:space="preserve"> while firing natural gas</w:t>
      </w:r>
      <w:r w:rsidRPr="000E18E2">
        <w:rPr>
          <w:color w:val="000000"/>
          <w:szCs w:val="22"/>
        </w:rPr>
        <w:t>, both of which are operated when more steam is required during cold starts of the combined-cycle units when steam is not otherwise available.  [</w:t>
      </w:r>
      <w:r w:rsidRPr="000E18E2">
        <w:rPr>
          <w:szCs w:val="22"/>
        </w:rPr>
        <w:t>Rule 62-210.200(PTE), F.A.C.; and, Permit No. 0850001-039-AC]</w:t>
      </w:r>
    </w:p>
    <w:p w14:paraId="4CBD58CF" w14:textId="0AFA627C" w:rsidR="007C53A9" w:rsidRPr="000E18E2" w:rsidRDefault="007C53A9" w:rsidP="00061DE9">
      <w:pPr>
        <w:pStyle w:val="ListParagraph"/>
        <w:numPr>
          <w:ilvl w:val="0"/>
          <w:numId w:val="16"/>
        </w:numPr>
        <w:suppressAutoHyphens/>
        <w:spacing w:before="120" w:after="120"/>
        <w:ind w:left="360"/>
        <w:contextualSpacing w:val="0"/>
        <w:rPr>
          <w:b/>
        </w:rPr>
      </w:pPr>
      <w:r w:rsidRPr="00C27B27">
        <w:rPr>
          <w:szCs w:val="22"/>
          <w:u w:val="single"/>
        </w:rPr>
        <w:t>Authorized F</w:t>
      </w:r>
      <w:r w:rsidRPr="00C16FF6">
        <w:rPr>
          <w:szCs w:val="22"/>
          <w:u w:val="single"/>
        </w:rPr>
        <w:t>uel</w:t>
      </w:r>
      <w:r w:rsidRPr="00C16FF6">
        <w:rPr>
          <w:szCs w:val="22"/>
        </w:rPr>
        <w:t xml:space="preserve">.  The auxiliary steam boiler shall only be fired with </w:t>
      </w:r>
      <w:r w:rsidRPr="00C27B27">
        <w:rPr>
          <w:szCs w:val="22"/>
        </w:rPr>
        <w:t>natural gas.  The firing of natural gas is considered the best available control technology (BACT) for reducing emissions of particulate matter (PM) and sulfur dioxide (SO</w:t>
      </w:r>
      <w:r w:rsidRPr="00C27B27">
        <w:rPr>
          <w:szCs w:val="22"/>
          <w:vertAlign w:val="subscript"/>
        </w:rPr>
        <w:t>2</w:t>
      </w:r>
      <w:r w:rsidRPr="00C27B27">
        <w:rPr>
          <w:szCs w:val="22"/>
        </w:rPr>
        <w:t>).</w:t>
      </w:r>
      <w:r>
        <w:rPr>
          <w:szCs w:val="22"/>
        </w:rPr>
        <w:t xml:space="preserve">  [Permit No. 0850001-039-AC]</w:t>
      </w:r>
    </w:p>
    <w:p w14:paraId="0D9ECC7F" w14:textId="287A4369" w:rsidR="00004B5C" w:rsidRPr="007C53A9" w:rsidRDefault="000E18E2" w:rsidP="00061DE9">
      <w:pPr>
        <w:pStyle w:val="ListParagraph"/>
        <w:numPr>
          <w:ilvl w:val="0"/>
          <w:numId w:val="16"/>
        </w:numPr>
        <w:suppressAutoHyphens/>
        <w:spacing w:before="120" w:after="120"/>
        <w:ind w:left="360"/>
        <w:contextualSpacing w:val="0"/>
        <w:rPr>
          <w:b/>
        </w:rPr>
      </w:pPr>
      <w:r w:rsidRPr="00C27B27">
        <w:rPr>
          <w:szCs w:val="22"/>
          <w:u w:val="single"/>
        </w:rPr>
        <w:t>Restricted Operation</w:t>
      </w:r>
      <w:r w:rsidRPr="00C27B27">
        <w:rPr>
          <w:szCs w:val="22"/>
        </w:rPr>
        <w:t>.  The auxiliary boiler shall operate only during startup and shutdown of the combined-cycle units, and for periodic</w:t>
      </w:r>
      <w:r w:rsidRPr="00C27B27">
        <w:rPr>
          <w:b/>
          <w:szCs w:val="22"/>
        </w:rPr>
        <w:t xml:space="preserve"> </w:t>
      </w:r>
      <w:r w:rsidRPr="00C27B27">
        <w:rPr>
          <w:szCs w:val="22"/>
        </w:rPr>
        <w:t>maintenance testing.  [</w:t>
      </w:r>
      <w:r>
        <w:rPr>
          <w:szCs w:val="22"/>
        </w:rPr>
        <w:t>Permit No. 0850001-039-AC</w:t>
      </w:r>
      <w:r w:rsidRPr="00C16FF6">
        <w:rPr>
          <w:szCs w:val="22"/>
        </w:rPr>
        <w:t>]</w:t>
      </w:r>
    </w:p>
    <w:p w14:paraId="2CFE0CE4" w14:textId="4AC7A192" w:rsidR="007C53A9" w:rsidRDefault="007C53A9" w:rsidP="007C53A9">
      <w:pPr>
        <w:pStyle w:val="ListParagraph"/>
        <w:suppressAutoHyphens/>
        <w:spacing w:before="120" w:after="120"/>
        <w:ind w:left="0"/>
        <w:contextualSpacing w:val="0"/>
        <w:rPr>
          <w:b/>
          <w:u w:val="single"/>
        </w:rPr>
      </w:pPr>
      <w:r w:rsidRPr="00B33C23">
        <w:rPr>
          <w:b/>
          <w:u w:val="single"/>
        </w:rPr>
        <w:t>Emission Limitations and Standards</w:t>
      </w:r>
    </w:p>
    <w:p w14:paraId="678E3B79" w14:textId="373583B2" w:rsidR="007C53A9" w:rsidRPr="007C53A9" w:rsidRDefault="007C53A9" w:rsidP="007C53A9">
      <w:pPr>
        <w:pStyle w:val="ListParagraph"/>
        <w:suppressAutoHyphens/>
        <w:spacing w:before="120" w:after="120"/>
        <w:ind w:left="0"/>
        <w:contextualSpacing w:val="0"/>
        <w:rPr>
          <w:u w:val="single"/>
        </w:rPr>
      </w:pPr>
      <w:r w:rsidRPr="007C53A9">
        <w:t xml:space="preserve">Unless otherwise specified, the averaging time for Specific Condition </w:t>
      </w:r>
      <w:r w:rsidRPr="007C53A9">
        <w:rPr>
          <w:b/>
        </w:rPr>
        <w:fldChar w:fldCharType="begin"/>
      </w:r>
      <w:r w:rsidRPr="007C53A9">
        <w:rPr>
          <w:b/>
        </w:rPr>
        <w:instrText xml:space="preserve"> REF _Ref512589557 \r \h  \* MERGEFORMAT </w:instrText>
      </w:r>
      <w:r w:rsidRPr="007C53A9">
        <w:rPr>
          <w:b/>
        </w:rPr>
      </w:r>
      <w:r w:rsidRPr="007C53A9">
        <w:rPr>
          <w:b/>
        </w:rPr>
        <w:fldChar w:fldCharType="separate"/>
      </w:r>
      <w:r w:rsidR="00D31800">
        <w:rPr>
          <w:b/>
        </w:rPr>
        <w:t>C.4</w:t>
      </w:r>
      <w:r w:rsidRPr="007C53A9">
        <w:rPr>
          <w:b/>
        </w:rPr>
        <w:fldChar w:fldCharType="end"/>
      </w:r>
      <w:r w:rsidRPr="007C53A9">
        <w:rPr>
          <w:b/>
        </w:rPr>
        <w:t xml:space="preserve"> </w:t>
      </w:r>
      <w:r w:rsidRPr="007C53A9">
        <w:t>is based on the specified averaging time of the applicable test method.</w:t>
      </w:r>
    </w:p>
    <w:p w14:paraId="184975D4" w14:textId="16428639" w:rsidR="008F3467" w:rsidRPr="0066023E" w:rsidRDefault="00BD529D" w:rsidP="00061DE9">
      <w:pPr>
        <w:pStyle w:val="ListParagraph"/>
        <w:numPr>
          <w:ilvl w:val="0"/>
          <w:numId w:val="16"/>
        </w:numPr>
        <w:suppressAutoHyphens/>
        <w:spacing w:before="120" w:after="120"/>
        <w:ind w:left="360"/>
        <w:contextualSpacing w:val="0"/>
        <w:rPr>
          <w:b/>
        </w:rPr>
      </w:pPr>
      <w:bookmarkStart w:id="139" w:name="_Hlk504053934"/>
      <w:bookmarkStart w:id="140" w:name="_Ref512589557"/>
      <w:r w:rsidRPr="00C16FF6">
        <w:rPr>
          <w:szCs w:val="22"/>
          <w:u w:val="single"/>
        </w:rPr>
        <w:t>Visible Emissions</w:t>
      </w:r>
      <w:r w:rsidRPr="00C16FF6">
        <w:rPr>
          <w:szCs w:val="22"/>
        </w:rPr>
        <w:t xml:space="preserve">.  </w:t>
      </w:r>
      <w:r w:rsidRPr="00C27B27">
        <w:rPr>
          <w:szCs w:val="22"/>
        </w:rPr>
        <w:t>Visible emissions shall not exceed 20 percent opacity except for one six-minute period per one-hour period during which opacity shall not exceed 27 percent.</w:t>
      </w:r>
      <w:r>
        <w:rPr>
          <w:szCs w:val="22"/>
        </w:rPr>
        <w:t xml:space="preserve">  </w:t>
      </w:r>
      <w:r w:rsidRPr="00C16FF6">
        <w:rPr>
          <w:szCs w:val="22"/>
        </w:rPr>
        <w:t>[Rule 62-296.406(1), F.A.C.]</w:t>
      </w:r>
      <w:bookmarkEnd w:id="139"/>
    </w:p>
    <w:p w14:paraId="1AF757DB" w14:textId="3C03CD9E" w:rsidR="0066023E" w:rsidRPr="002E4D64" w:rsidRDefault="0066023E" w:rsidP="00061DE9">
      <w:pPr>
        <w:pStyle w:val="ListParagraph"/>
        <w:numPr>
          <w:ilvl w:val="0"/>
          <w:numId w:val="16"/>
        </w:numPr>
        <w:suppressAutoHyphens/>
        <w:spacing w:before="120" w:after="120"/>
        <w:ind w:left="360"/>
        <w:contextualSpacing w:val="0"/>
        <w:rPr>
          <w:b/>
        </w:rPr>
      </w:pPr>
      <w:r w:rsidRPr="002E4D64">
        <w:rPr>
          <w:szCs w:val="22"/>
          <w:u w:val="single"/>
        </w:rPr>
        <w:t>Emissions Minimizing Practices</w:t>
      </w:r>
      <w:r w:rsidRPr="002E4D64">
        <w:rPr>
          <w:szCs w:val="22"/>
        </w:rPr>
        <w:t>.  The permittee must operate this unit, including associated air pollution control equipment and monitoring equipment, in a manner consistent with safety and good air pollution control practices for minimizing emissions.  Determination of whether such operation and maintenance procedures are being used will be based on information available to the Department that may include, but is not limited to, monitoring results, review of operation and maintenance procedures, review of operation and maintenance records, and inspection of the source.  [Rule 62-204.800(11)(b)86., F.A.C. &amp; 40 CFR 63.7500(a)(3)]</w:t>
      </w:r>
    </w:p>
    <w:p w14:paraId="1CD4C1DE" w14:textId="41BCC4FE" w:rsidR="00BD529D" w:rsidRDefault="00BD529D" w:rsidP="00BD529D">
      <w:pPr>
        <w:pStyle w:val="ListParagraph"/>
        <w:suppressAutoHyphens/>
        <w:spacing w:before="120" w:after="120"/>
        <w:ind w:left="0"/>
        <w:contextualSpacing w:val="0"/>
        <w:rPr>
          <w:b/>
          <w:szCs w:val="22"/>
          <w:u w:val="single"/>
        </w:rPr>
      </w:pPr>
      <w:r>
        <w:rPr>
          <w:b/>
          <w:szCs w:val="22"/>
          <w:u w:val="single"/>
        </w:rPr>
        <w:t>Excess Emissions</w:t>
      </w:r>
    </w:p>
    <w:p w14:paraId="01DE223D" w14:textId="41D42918" w:rsidR="00BD529D" w:rsidRPr="00BD529D" w:rsidRDefault="00BD529D" w:rsidP="00BD529D">
      <w:pPr>
        <w:pStyle w:val="ListParagraph"/>
        <w:suppressAutoHyphens/>
        <w:spacing w:before="120" w:after="120"/>
        <w:ind w:left="0"/>
        <w:contextualSpacing w:val="0"/>
        <w:rPr>
          <w:b/>
        </w:rPr>
      </w:pPr>
      <w:r w:rsidRPr="00C66B90">
        <w:rPr>
          <w:szCs w:val="22"/>
        </w:rPr>
        <w:t>Rule 62-210.700</w:t>
      </w:r>
      <w:r>
        <w:rPr>
          <w:szCs w:val="22"/>
        </w:rPr>
        <w:t xml:space="preserve"> (</w:t>
      </w:r>
      <w:r w:rsidRPr="00C66B90">
        <w:rPr>
          <w:szCs w:val="22"/>
        </w:rPr>
        <w:t>Excess Emissions</w:t>
      </w:r>
      <w:r>
        <w:rPr>
          <w:szCs w:val="22"/>
        </w:rPr>
        <w:t>)</w:t>
      </w:r>
      <w:r w:rsidRPr="00C66B90">
        <w:rPr>
          <w:szCs w:val="22"/>
        </w:rPr>
        <w:t>, F.A.C. cannot vary any requirement of a</w:t>
      </w:r>
      <w:r>
        <w:rPr>
          <w:szCs w:val="22"/>
        </w:rPr>
        <w:t>n</w:t>
      </w:r>
      <w:r w:rsidRPr="00C66B90">
        <w:rPr>
          <w:szCs w:val="22"/>
        </w:rPr>
        <w:t xml:space="preserve"> NSPS, NESHAP </w:t>
      </w:r>
      <w:r>
        <w:rPr>
          <w:szCs w:val="22"/>
        </w:rPr>
        <w:t>or Acid Rain program provision.</w:t>
      </w:r>
    </w:p>
    <w:p w14:paraId="1775B169" w14:textId="457E63AE" w:rsidR="00BD529D" w:rsidRPr="00BD529D" w:rsidRDefault="00BD529D" w:rsidP="00061DE9">
      <w:pPr>
        <w:pStyle w:val="ListParagraph"/>
        <w:numPr>
          <w:ilvl w:val="0"/>
          <w:numId w:val="16"/>
        </w:numPr>
        <w:suppressAutoHyphens/>
        <w:spacing w:before="120" w:after="120"/>
        <w:ind w:left="360"/>
        <w:contextualSpacing w:val="0"/>
        <w:rPr>
          <w:b/>
        </w:rPr>
      </w:pPr>
      <w:r w:rsidRPr="00415B5E">
        <w:rPr>
          <w:szCs w:val="22"/>
          <w:u w:val="single"/>
        </w:rPr>
        <w:t>Excess Emissions Allowed</w:t>
      </w:r>
      <w:r>
        <w:rPr>
          <w:szCs w:val="22"/>
        </w:rPr>
        <w:t xml:space="preserve">.  </w:t>
      </w:r>
      <w:r w:rsidRPr="00EC475D">
        <w:rPr>
          <w:szCs w:val="22"/>
        </w:rPr>
        <w:t>Excess emissions resulting from startup, shutdown or malfunction of any emissions unit shall be permitted provided that best operational practices to minimize emissions are adhered to and the duration of excess emissions shall be minimized but in no case exceed two hours in any 24 hour period unless specifically authorized by the Department for longer du</w:t>
      </w:r>
      <w:r>
        <w:t>ration.  [Rule 62-210.700(1), F.A.C.]</w:t>
      </w:r>
    </w:p>
    <w:p w14:paraId="407F9F48" w14:textId="4BAA5237" w:rsidR="00BD529D" w:rsidRPr="009609FF" w:rsidRDefault="00BD529D" w:rsidP="00061DE9">
      <w:pPr>
        <w:pStyle w:val="ListParagraph"/>
        <w:numPr>
          <w:ilvl w:val="0"/>
          <w:numId w:val="16"/>
        </w:numPr>
        <w:suppressAutoHyphens/>
        <w:spacing w:before="120" w:after="120"/>
        <w:ind w:left="360"/>
        <w:contextualSpacing w:val="0"/>
        <w:rPr>
          <w:b/>
        </w:rPr>
      </w:pPr>
      <w:r w:rsidRPr="002936F1">
        <w:rPr>
          <w:szCs w:val="22"/>
          <w:u w:val="single"/>
        </w:rPr>
        <w:t>Excess Emissions Prohibited</w:t>
      </w:r>
      <w:r>
        <w:rPr>
          <w:szCs w:val="22"/>
        </w:rPr>
        <w:t xml:space="preserve">.  </w:t>
      </w:r>
      <w:r w:rsidRPr="003271BF">
        <w:t>Excess emissions which are caused entirely or in part by poor maintenance, poor operation, or any other equipment or process failure which may reasonably be prevented during startup, shutdown or malfunction shall be prohibited.</w:t>
      </w:r>
      <w:r>
        <w:t xml:space="preserve">  </w:t>
      </w:r>
      <w:r w:rsidRPr="003271BF">
        <w:t>[Rule 62-210.700(</w:t>
      </w:r>
      <w:r w:rsidR="00096309">
        <w:t>1</w:t>
      </w:r>
      <w:r w:rsidRPr="003271BF">
        <w:t>), F.A.C]</w:t>
      </w:r>
    </w:p>
    <w:p w14:paraId="54589FF9" w14:textId="55D5C40B" w:rsidR="009609FF" w:rsidRDefault="009609FF" w:rsidP="009609FF">
      <w:pPr>
        <w:pStyle w:val="ListParagraph"/>
        <w:suppressAutoHyphens/>
        <w:spacing w:before="120" w:after="120"/>
        <w:ind w:left="0"/>
        <w:contextualSpacing w:val="0"/>
        <w:rPr>
          <w:b/>
          <w:u w:val="single"/>
        </w:rPr>
      </w:pPr>
      <w:r w:rsidRPr="00B33C23">
        <w:rPr>
          <w:b/>
          <w:u w:val="single"/>
        </w:rPr>
        <w:t>Test Methods and Procedures</w:t>
      </w:r>
    </w:p>
    <w:p w14:paraId="04CEAC0C" w14:textId="430BD02C" w:rsidR="009609FF" w:rsidRPr="009609FF" w:rsidRDefault="009609FF" w:rsidP="00061DE9">
      <w:pPr>
        <w:pStyle w:val="ListParagraph"/>
        <w:numPr>
          <w:ilvl w:val="0"/>
          <w:numId w:val="16"/>
        </w:numPr>
        <w:suppressAutoHyphens/>
        <w:spacing w:before="120" w:after="120"/>
        <w:ind w:left="360"/>
        <w:contextualSpacing w:val="0"/>
        <w:rPr>
          <w:b/>
        </w:rPr>
      </w:pPr>
      <w:r w:rsidRPr="00C16FF6">
        <w:rPr>
          <w:szCs w:val="22"/>
          <w:u w:val="single"/>
        </w:rPr>
        <w:t>Test Methods</w:t>
      </w:r>
      <w:r w:rsidRPr="00C16FF6">
        <w:rPr>
          <w:szCs w:val="22"/>
        </w:rPr>
        <w:t>.  Required tests shall be performed in accordance with the following reference methods:</w:t>
      </w:r>
    </w:p>
    <w:tbl>
      <w:tblPr>
        <w:tblW w:w="9468" w:type="dxa"/>
        <w:tblInd w:w="432" w:type="dxa"/>
        <w:tblBorders>
          <w:top w:val="single" w:sz="8" w:space="0" w:color="auto"/>
          <w:left w:val="single" w:sz="8" w:space="0" w:color="auto"/>
          <w:bottom w:val="single" w:sz="8" w:space="0" w:color="auto"/>
          <w:right w:val="single" w:sz="8" w:space="0" w:color="auto"/>
          <w:insideH w:val="single" w:sz="4" w:space="0" w:color="auto"/>
          <w:insideV w:val="single" w:sz="8" w:space="0" w:color="auto"/>
        </w:tblBorders>
        <w:tblLayout w:type="fixed"/>
        <w:tblCellMar>
          <w:top w:w="43" w:type="dxa"/>
          <w:left w:w="72" w:type="dxa"/>
          <w:bottom w:w="43" w:type="dxa"/>
          <w:right w:w="72" w:type="dxa"/>
        </w:tblCellMar>
        <w:tblLook w:val="0000" w:firstRow="0" w:lastRow="0" w:firstColumn="0" w:lastColumn="0" w:noHBand="0" w:noVBand="0"/>
      </w:tblPr>
      <w:tblGrid>
        <w:gridCol w:w="1224"/>
        <w:gridCol w:w="8244"/>
      </w:tblGrid>
      <w:tr w:rsidR="009609FF" w:rsidRPr="00B41709" w14:paraId="3E69095E" w14:textId="77777777" w:rsidTr="009609FF">
        <w:trPr>
          <w:tblHeader/>
        </w:trPr>
        <w:tc>
          <w:tcPr>
            <w:tcW w:w="1224" w:type="dxa"/>
            <w:tcBorders>
              <w:top w:val="single" w:sz="12" w:space="0" w:color="auto"/>
              <w:left w:val="single" w:sz="12" w:space="0" w:color="auto"/>
              <w:bottom w:val="single" w:sz="12" w:space="0" w:color="auto"/>
            </w:tcBorders>
          </w:tcPr>
          <w:p w14:paraId="75B15EF0" w14:textId="77777777" w:rsidR="009609FF" w:rsidRPr="00B41709" w:rsidRDefault="009609FF" w:rsidP="00E37B60">
            <w:pPr>
              <w:jc w:val="center"/>
              <w:rPr>
                <w:b/>
              </w:rPr>
            </w:pPr>
            <w:r w:rsidRPr="00B41709">
              <w:rPr>
                <w:b/>
              </w:rPr>
              <w:t>Method</w:t>
            </w:r>
          </w:p>
        </w:tc>
        <w:tc>
          <w:tcPr>
            <w:tcW w:w="8244" w:type="dxa"/>
            <w:tcBorders>
              <w:top w:val="single" w:sz="12" w:space="0" w:color="auto"/>
              <w:bottom w:val="single" w:sz="12" w:space="0" w:color="auto"/>
              <w:right w:val="single" w:sz="12" w:space="0" w:color="auto"/>
            </w:tcBorders>
          </w:tcPr>
          <w:p w14:paraId="30942555" w14:textId="77777777" w:rsidR="009609FF" w:rsidRPr="00B41709" w:rsidRDefault="009609FF" w:rsidP="00E37B60">
            <w:pPr>
              <w:rPr>
                <w:b/>
              </w:rPr>
            </w:pPr>
            <w:r w:rsidRPr="00B41709">
              <w:rPr>
                <w:b/>
              </w:rPr>
              <w:t>Description of Method and Comments</w:t>
            </w:r>
          </w:p>
        </w:tc>
      </w:tr>
      <w:tr w:rsidR="009609FF" w:rsidRPr="009609FF" w14:paraId="217CB39C" w14:textId="77777777" w:rsidTr="009609FF">
        <w:tc>
          <w:tcPr>
            <w:tcW w:w="1224" w:type="dxa"/>
            <w:tcBorders>
              <w:top w:val="single" w:sz="12" w:space="0" w:color="auto"/>
              <w:left w:val="single" w:sz="12" w:space="0" w:color="auto"/>
              <w:bottom w:val="single" w:sz="12" w:space="0" w:color="auto"/>
            </w:tcBorders>
          </w:tcPr>
          <w:p w14:paraId="270113A5" w14:textId="77777777" w:rsidR="009609FF" w:rsidRPr="009609FF" w:rsidRDefault="009609FF" w:rsidP="00E37B60">
            <w:pPr>
              <w:jc w:val="center"/>
            </w:pPr>
            <w:r w:rsidRPr="009609FF">
              <w:t>9</w:t>
            </w:r>
          </w:p>
        </w:tc>
        <w:tc>
          <w:tcPr>
            <w:tcW w:w="8244" w:type="dxa"/>
            <w:tcBorders>
              <w:top w:val="single" w:sz="12" w:space="0" w:color="auto"/>
              <w:bottom w:val="single" w:sz="12" w:space="0" w:color="auto"/>
              <w:right w:val="single" w:sz="12" w:space="0" w:color="auto"/>
            </w:tcBorders>
          </w:tcPr>
          <w:p w14:paraId="6F5B6D4A" w14:textId="77777777" w:rsidR="009609FF" w:rsidRPr="009609FF" w:rsidRDefault="009609FF" w:rsidP="00E37B60">
            <w:r w:rsidRPr="009609FF">
              <w:t>Visual Determination of the Opacity of Emissions from Stationary Sources</w:t>
            </w:r>
          </w:p>
        </w:tc>
      </w:tr>
    </w:tbl>
    <w:p w14:paraId="373E05B8" w14:textId="3181F3DF" w:rsidR="009609FF" w:rsidRDefault="009609FF" w:rsidP="009609FF">
      <w:pPr>
        <w:pStyle w:val="ListParagraph"/>
        <w:suppressAutoHyphens/>
        <w:spacing w:after="120"/>
        <w:ind w:left="360"/>
        <w:contextualSpacing w:val="0"/>
        <w:rPr>
          <w:szCs w:val="22"/>
        </w:rPr>
      </w:pPr>
      <w:r w:rsidRPr="009609FF">
        <w:rPr>
          <w:szCs w:val="22"/>
        </w:rPr>
        <w:t>The above methods are described in 40 CFR 60, Appendix A, and adopted by reference in Rule 62-204.800, F.A.C.  No other methods may be used unless prior written approval is received from the Department.  [Rule 62-204.800, F.A.C.; and, Permit No. 0850001-039-AC]</w:t>
      </w:r>
    </w:p>
    <w:p w14:paraId="6175724C" w14:textId="40F707E3" w:rsidR="00793090" w:rsidRPr="00793090" w:rsidRDefault="00793090" w:rsidP="00061DE9">
      <w:pPr>
        <w:pStyle w:val="ListParagraph"/>
        <w:numPr>
          <w:ilvl w:val="0"/>
          <w:numId w:val="16"/>
        </w:numPr>
        <w:suppressAutoHyphens/>
        <w:spacing w:before="120" w:after="120"/>
        <w:ind w:left="360"/>
        <w:contextualSpacing w:val="0"/>
        <w:rPr>
          <w:b/>
        </w:rPr>
      </w:pPr>
      <w:r w:rsidRPr="00C16FF6">
        <w:rPr>
          <w:szCs w:val="22"/>
          <w:u w:val="single"/>
        </w:rPr>
        <w:t>Common Testing Requirements</w:t>
      </w:r>
      <w:r w:rsidRPr="00C16FF6">
        <w:rPr>
          <w:szCs w:val="22"/>
        </w:rPr>
        <w:t>.  Unless otherwise specified, tests shall be conducted in accordance with the requirements and procedures specified in Appendix TR, Facility-Wide Testing Requirements, of this permit.  [Rule 62-297.310, F.A.C.]</w:t>
      </w:r>
    </w:p>
    <w:p w14:paraId="5FF67272" w14:textId="1571F095" w:rsidR="00793090" w:rsidRPr="00793090" w:rsidRDefault="00793090" w:rsidP="00061DE9">
      <w:pPr>
        <w:pStyle w:val="ListParagraph"/>
        <w:numPr>
          <w:ilvl w:val="0"/>
          <w:numId w:val="16"/>
        </w:numPr>
        <w:suppressAutoHyphens/>
        <w:spacing w:before="120" w:after="120"/>
        <w:ind w:left="360"/>
        <w:contextualSpacing w:val="0"/>
        <w:rPr>
          <w:b/>
        </w:rPr>
      </w:pPr>
      <w:r w:rsidRPr="00C27B27">
        <w:rPr>
          <w:szCs w:val="22"/>
          <w:u w:val="single"/>
        </w:rPr>
        <w:t>Annual Compliance Tests</w:t>
      </w:r>
      <w:r w:rsidRPr="00C27B27">
        <w:rPr>
          <w:szCs w:val="22"/>
        </w:rPr>
        <w:t>.  During each calendar year (January 1</w:t>
      </w:r>
      <w:r w:rsidRPr="00C27B27">
        <w:rPr>
          <w:szCs w:val="22"/>
          <w:vertAlign w:val="superscript"/>
        </w:rPr>
        <w:t>st</w:t>
      </w:r>
      <w:r w:rsidRPr="00C27B27">
        <w:rPr>
          <w:szCs w:val="22"/>
        </w:rPr>
        <w:t xml:space="preserve"> to December 31</w:t>
      </w:r>
      <w:r w:rsidRPr="00C27B27">
        <w:rPr>
          <w:szCs w:val="22"/>
          <w:vertAlign w:val="superscript"/>
        </w:rPr>
        <w:t>st</w:t>
      </w:r>
      <w:r w:rsidRPr="00C27B27">
        <w:rPr>
          <w:szCs w:val="22"/>
        </w:rPr>
        <w:t>), the emissions unit shall be tested to demonstrate compliance with the emissions standards for VE.  An annual VE test shall not be required for any emissions unit that operate</w:t>
      </w:r>
      <w:r>
        <w:rPr>
          <w:szCs w:val="22"/>
        </w:rPr>
        <w:t>s</w:t>
      </w:r>
      <w:r w:rsidRPr="00C27B27">
        <w:rPr>
          <w:szCs w:val="22"/>
        </w:rPr>
        <w:t xml:space="preserve"> for 400 hours or less (including during startup and shutdown) during the calendar year.  If an emission unit operates for more than 400 hours during the calendar year, an emissions test shall be completed no later than 60 days after the emissions unit’s annual operation exceeds 400 hours, or by the end of the calendar year, whichever is later.  [Rule 62-297.310(8)(a)1., 3. &amp; 5.d., F.A.C.; and, Permit No. 0850001-039-AC]</w:t>
      </w:r>
    </w:p>
    <w:p w14:paraId="4F273655" w14:textId="16C6166E" w:rsidR="00793090" w:rsidRPr="00793090" w:rsidRDefault="00793090" w:rsidP="00061DE9">
      <w:pPr>
        <w:pStyle w:val="ListParagraph"/>
        <w:numPr>
          <w:ilvl w:val="0"/>
          <w:numId w:val="16"/>
        </w:numPr>
        <w:suppressAutoHyphens/>
        <w:spacing w:before="120" w:after="120"/>
        <w:ind w:left="360"/>
        <w:contextualSpacing w:val="0"/>
        <w:rPr>
          <w:b/>
        </w:rPr>
      </w:pPr>
      <w:r w:rsidRPr="00C27B27">
        <w:rPr>
          <w:szCs w:val="22"/>
          <w:u w:val="single"/>
        </w:rPr>
        <w:t>Compliance Test Duration</w:t>
      </w:r>
      <w:r w:rsidRPr="00C27B27">
        <w:rPr>
          <w:szCs w:val="22"/>
        </w:rPr>
        <w:t>.  Because this emissions unit is subject to multiple-valued opacity standard, the required minimum period of observation for a VE test shall be 60 minutes.  [Rule 62-297.310(5)(b), F.A.C.]</w:t>
      </w:r>
    </w:p>
    <w:p w14:paraId="25346A6D" w14:textId="77777777" w:rsidR="00952C7D" w:rsidRPr="00952C7D" w:rsidRDefault="00952C7D" w:rsidP="00061DE9">
      <w:pPr>
        <w:pStyle w:val="ListParagraph"/>
        <w:numPr>
          <w:ilvl w:val="0"/>
          <w:numId w:val="16"/>
        </w:numPr>
        <w:suppressAutoHyphens/>
        <w:spacing w:before="120"/>
        <w:ind w:left="360"/>
        <w:contextualSpacing w:val="0"/>
        <w:rPr>
          <w:szCs w:val="22"/>
        </w:rPr>
      </w:pPr>
      <w:bookmarkStart w:id="141" w:name="_Ref503965487"/>
      <w:r w:rsidRPr="00952C7D">
        <w:rPr>
          <w:szCs w:val="22"/>
          <w:u w:val="single"/>
        </w:rPr>
        <w:t>Annual Tune Up</w:t>
      </w:r>
      <w:r w:rsidRPr="00952C7D">
        <w:rPr>
          <w:szCs w:val="22"/>
        </w:rPr>
        <w:t>.  The permittee must conduct an annual tune-up of the boiler or process heater to demonstrate continuous compliance as specified in the following paragraphs.  If this unit is not operating on the required date for a tune-up, the tune-up must be conducted within 30 calendar days of startup.</w:t>
      </w:r>
      <w:bookmarkEnd w:id="141"/>
      <w:r w:rsidRPr="00952C7D">
        <w:rPr>
          <w:szCs w:val="22"/>
        </w:rPr>
        <w:t xml:space="preserve">  Each annual tune-up must be no more than 13 months after the previous tune-up.  </w:t>
      </w:r>
    </w:p>
    <w:p w14:paraId="66E3A958" w14:textId="77777777" w:rsidR="00952C7D" w:rsidRPr="00952C7D" w:rsidRDefault="00952C7D" w:rsidP="00061DE9">
      <w:pPr>
        <w:numPr>
          <w:ilvl w:val="0"/>
          <w:numId w:val="17"/>
        </w:numPr>
        <w:spacing w:line="276" w:lineRule="auto"/>
        <w:ind w:left="720"/>
        <w:contextualSpacing/>
        <w:rPr>
          <w:rFonts w:eastAsia="Calibri"/>
          <w:szCs w:val="22"/>
        </w:rPr>
      </w:pPr>
      <w:r w:rsidRPr="00952C7D">
        <w:rPr>
          <w:rFonts w:eastAsia="Calibri"/>
          <w:szCs w:val="22"/>
        </w:rPr>
        <w:t>As applicable, inspect the burner, and clean or replace any components of the burner as necessary (the permittee may perform the burner inspection any time prior to the tune-up or delay the burner inspection until the next scheduled unit shutdown).  If entry into a piece of process equipment or into a storage vessel is required to complete the tune-up inspections, inspections are required only during planned entries into the storage vessel or process equipment;</w:t>
      </w:r>
    </w:p>
    <w:p w14:paraId="46E47554" w14:textId="77777777" w:rsidR="00952C7D" w:rsidRPr="00952C7D" w:rsidRDefault="00952C7D" w:rsidP="00061DE9">
      <w:pPr>
        <w:numPr>
          <w:ilvl w:val="0"/>
          <w:numId w:val="17"/>
        </w:numPr>
        <w:spacing w:line="276" w:lineRule="auto"/>
        <w:ind w:left="720"/>
        <w:contextualSpacing/>
        <w:rPr>
          <w:rFonts w:eastAsia="Calibri"/>
          <w:szCs w:val="22"/>
        </w:rPr>
      </w:pPr>
      <w:r w:rsidRPr="00952C7D">
        <w:rPr>
          <w:rFonts w:eastAsia="Calibri"/>
          <w:szCs w:val="22"/>
        </w:rPr>
        <w:t>Inspect the flame pattern, as applicable, and adjust the burner as necessary to optimize the flame pattern.  The adjustment should be consistent with the manufacturer’s specifications, if available;</w:t>
      </w:r>
    </w:p>
    <w:p w14:paraId="4575E19F" w14:textId="77777777" w:rsidR="00952C7D" w:rsidRPr="00952C7D" w:rsidRDefault="00952C7D" w:rsidP="00061DE9">
      <w:pPr>
        <w:numPr>
          <w:ilvl w:val="0"/>
          <w:numId w:val="17"/>
        </w:numPr>
        <w:spacing w:after="120" w:line="276" w:lineRule="auto"/>
        <w:ind w:left="720"/>
        <w:contextualSpacing/>
        <w:rPr>
          <w:rFonts w:eastAsia="Calibri"/>
          <w:szCs w:val="22"/>
        </w:rPr>
      </w:pPr>
      <w:r w:rsidRPr="00952C7D">
        <w:rPr>
          <w:rFonts w:eastAsia="Calibri"/>
          <w:szCs w:val="22"/>
        </w:rPr>
        <w:t>Inspect the system controlling the air-to-fuel ratio, as applicable, and ensure that it is correctly calibrated and functioning properly (the permittee may delay the inspection until the next scheduled unit shutdown);</w:t>
      </w:r>
    </w:p>
    <w:p w14:paraId="565D5CE3" w14:textId="77777777" w:rsidR="00952C7D" w:rsidRPr="00952C7D" w:rsidRDefault="00952C7D" w:rsidP="00061DE9">
      <w:pPr>
        <w:numPr>
          <w:ilvl w:val="0"/>
          <w:numId w:val="17"/>
        </w:numPr>
        <w:spacing w:after="120" w:line="276" w:lineRule="auto"/>
        <w:ind w:left="720"/>
        <w:contextualSpacing/>
        <w:rPr>
          <w:rFonts w:eastAsia="Calibri"/>
          <w:szCs w:val="22"/>
        </w:rPr>
      </w:pPr>
      <w:r w:rsidRPr="00952C7D">
        <w:rPr>
          <w:rFonts w:eastAsia="Calibri"/>
          <w:szCs w:val="22"/>
        </w:rPr>
        <w:t>Optimize total emissions of CO.  This optimization should be consistent with the manufacturer’s specifications, if available, and with any NO</w:t>
      </w:r>
      <w:r w:rsidRPr="00952C7D">
        <w:rPr>
          <w:rFonts w:eastAsia="Calibri"/>
          <w:szCs w:val="22"/>
          <w:vertAlign w:val="subscript"/>
        </w:rPr>
        <w:t>X</w:t>
      </w:r>
      <w:r w:rsidRPr="00952C7D">
        <w:rPr>
          <w:rFonts w:eastAsia="Calibri"/>
          <w:szCs w:val="22"/>
        </w:rPr>
        <w:t xml:space="preserve"> requirement to which the unit is subject;</w:t>
      </w:r>
    </w:p>
    <w:p w14:paraId="56C15F48" w14:textId="77777777" w:rsidR="00952C7D" w:rsidRPr="00952C7D" w:rsidRDefault="00952C7D" w:rsidP="00061DE9">
      <w:pPr>
        <w:numPr>
          <w:ilvl w:val="0"/>
          <w:numId w:val="17"/>
        </w:numPr>
        <w:spacing w:after="120" w:line="276" w:lineRule="auto"/>
        <w:ind w:left="720"/>
        <w:contextualSpacing/>
        <w:rPr>
          <w:rFonts w:eastAsia="Calibri"/>
          <w:szCs w:val="22"/>
        </w:rPr>
      </w:pPr>
      <w:r w:rsidRPr="00952C7D">
        <w:rPr>
          <w:rFonts w:eastAsia="Calibri"/>
          <w:szCs w:val="22"/>
        </w:rPr>
        <w:t>Measure the concentrations in the effluent stream of CO in parts per million, by volume, and oxygen in volume percent, before and after the adjustments are made (measurements may be either on a dry or wet basis, as long as it is the same basis before and after the adjustments are made).  Measurements may be taken using a portable CO analyzer; and</w:t>
      </w:r>
    </w:p>
    <w:p w14:paraId="53713FCC" w14:textId="77777777" w:rsidR="00952C7D" w:rsidRPr="00952C7D" w:rsidRDefault="00952C7D" w:rsidP="00061DE9">
      <w:pPr>
        <w:numPr>
          <w:ilvl w:val="0"/>
          <w:numId w:val="17"/>
        </w:numPr>
        <w:spacing w:after="120" w:line="276" w:lineRule="auto"/>
        <w:ind w:left="720"/>
        <w:contextualSpacing/>
        <w:rPr>
          <w:rFonts w:eastAsia="Calibri"/>
          <w:szCs w:val="22"/>
        </w:rPr>
      </w:pPr>
      <w:r w:rsidRPr="00952C7D">
        <w:rPr>
          <w:rFonts w:eastAsia="Calibri"/>
          <w:szCs w:val="22"/>
        </w:rPr>
        <w:t>Maintain on-site and submit, if requested by the Department, a report containing the information in the following paragraphs:</w:t>
      </w:r>
    </w:p>
    <w:p w14:paraId="3AA94B81" w14:textId="77777777" w:rsidR="00952C7D" w:rsidRPr="00952C7D" w:rsidRDefault="00952C7D" w:rsidP="00061DE9">
      <w:pPr>
        <w:numPr>
          <w:ilvl w:val="0"/>
          <w:numId w:val="18"/>
        </w:numPr>
        <w:spacing w:after="120" w:line="276" w:lineRule="auto"/>
        <w:contextualSpacing/>
        <w:rPr>
          <w:rFonts w:eastAsia="Calibri"/>
          <w:szCs w:val="22"/>
        </w:rPr>
      </w:pPr>
      <w:r w:rsidRPr="00952C7D">
        <w:rPr>
          <w:rFonts w:eastAsia="Calibri"/>
          <w:szCs w:val="22"/>
        </w:rPr>
        <w:t>The concentrations of CO in the effluent stream in parts per million by volume, and oxygen in volume percent, measured at high fire or typical operating load, before and after the tune-up of the boiler or process heater; and</w:t>
      </w:r>
    </w:p>
    <w:p w14:paraId="0BC257E7" w14:textId="77777777" w:rsidR="00952C7D" w:rsidRPr="00952C7D" w:rsidRDefault="00952C7D" w:rsidP="00061DE9">
      <w:pPr>
        <w:numPr>
          <w:ilvl w:val="0"/>
          <w:numId w:val="18"/>
        </w:numPr>
        <w:spacing w:after="120" w:line="276" w:lineRule="auto"/>
        <w:contextualSpacing/>
        <w:rPr>
          <w:rFonts w:eastAsia="Calibri"/>
          <w:szCs w:val="22"/>
        </w:rPr>
      </w:pPr>
      <w:r w:rsidRPr="00952C7D">
        <w:rPr>
          <w:rFonts w:eastAsia="Calibri"/>
          <w:szCs w:val="22"/>
        </w:rPr>
        <w:t>A description of any corrective actions taken as a part of the tune-up.</w:t>
      </w:r>
    </w:p>
    <w:p w14:paraId="39B2E9B2" w14:textId="651B4226" w:rsidR="00952C7D" w:rsidRDefault="00952C7D" w:rsidP="00952C7D">
      <w:pPr>
        <w:spacing w:after="120" w:line="276" w:lineRule="auto"/>
        <w:ind w:left="360"/>
        <w:rPr>
          <w:rFonts w:eastAsia="Calibri"/>
          <w:szCs w:val="22"/>
        </w:rPr>
      </w:pPr>
      <w:r w:rsidRPr="00952C7D">
        <w:rPr>
          <w:rFonts w:eastAsia="Calibri"/>
          <w:szCs w:val="22"/>
        </w:rPr>
        <w:t xml:space="preserve">[Rule 62-204.800(11)(b)86., F.A.C.; and, 40 CFR 63.7515(d), 63.7540(a)(10) &amp; (a)(13)] </w:t>
      </w:r>
    </w:p>
    <w:p w14:paraId="61C58A10" w14:textId="5F81C946" w:rsidR="00952C7D" w:rsidRPr="00952C7D" w:rsidRDefault="00952C7D" w:rsidP="00952C7D">
      <w:pPr>
        <w:tabs>
          <w:tab w:val="left" w:pos="0"/>
        </w:tabs>
        <w:suppressAutoHyphens/>
        <w:spacing w:before="120" w:after="120"/>
        <w:rPr>
          <w:b/>
          <w:u w:val="single"/>
        </w:rPr>
      </w:pPr>
      <w:r w:rsidRPr="00780F01">
        <w:rPr>
          <w:b/>
          <w:u w:val="single"/>
        </w:rPr>
        <w:t>Recordkeeping and Reporting Requirements</w:t>
      </w:r>
    </w:p>
    <w:p w14:paraId="46FCCC17" w14:textId="50F1153E" w:rsidR="00952C7D" w:rsidRPr="00952C7D" w:rsidRDefault="00952C7D" w:rsidP="00061DE9">
      <w:pPr>
        <w:pStyle w:val="ListParagraph"/>
        <w:numPr>
          <w:ilvl w:val="0"/>
          <w:numId w:val="16"/>
        </w:numPr>
        <w:suppressAutoHyphens/>
        <w:spacing w:before="120" w:after="120"/>
        <w:ind w:left="360"/>
        <w:contextualSpacing w:val="0"/>
        <w:rPr>
          <w:b/>
        </w:rPr>
      </w:pPr>
      <w:r w:rsidRPr="0095785A">
        <w:rPr>
          <w:u w:val="single"/>
        </w:rPr>
        <w:t>Reporting Schedule</w:t>
      </w:r>
      <w:r w:rsidRPr="00993ABC">
        <w:t>.  The following reports and notifications shall be submitted to the Compliance Authority:</w:t>
      </w:r>
    </w:p>
    <w:tbl>
      <w:tblPr>
        <w:tblW w:w="0" w:type="auto"/>
        <w:tblInd w:w="46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3012"/>
        <w:gridCol w:w="4163"/>
        <w:gridCol w:w="2407"/>
      </w:tblGrid>
      <w:tr w:rsidR="00952C7D" w:rsidRPr="00060DE6" w14:paraId="7CED645E" w14:textId="77777777" w:rsidTr="00952C7D">
        <w:tc>
          <w:tcPr>
            <w:tcW w:w="3012" w:type="dxa"/>
            <w:tcBorders>
              <w:top w:val="single" w:sz="12" w:space="0" w:color="auto"/>
              <w:bottom w:val="single" w:sz="12" w:space="0" w:color="auto"/>
            </w:tcBorders>
            <w:vAlign w:val="center"/>
          </w:tcPr>
          <w:p w14:paraId="17F3E316" w14:textId="77777777" w:rsidR="00952C7D" w:rsidRPr="00060DE6" w:rsidRDefault="00952C7D" w:rsidP="00E37B60">
            <w:pPr>
              <w:tabs>
                <w:tab w:val="left" w:pos="360"/>
                <w:tab w:val="left" w:pos="720"/>
                <w:tab w:val="left" w:pos="1080"/>
                <w:tab w:val="left" w:pos="1440"/>
                <w:tab w:val="left" w:pos="1800"/>
                <w:tab w:val="left" w:pos="2160"/>
              </w:tabs>
              <w:spacing w:line="-240" w:lineRule="auto"/>
              <w:rPr>
                <w:b/>
              </w:rPr>
            </w:pPr>
            <w:r w:rsidRPr="00060DE6">
              <w:rPr>
                <w:b/>
              </w:rPr>
              <w:t>Report</w:t>
            </w:r>
          </w:p>
        </w:tc>
        <w:tc>
          <w:tcPr>
            <w:tcW w:w="4163" w:type="dxa"/>
            <w:tcBorders>
              <w:top w:val="single" w:sz="12" w:space="0" w:color="auto"/>
              <w:bottom w:val="single" w:sz="12" w:space="0" w:color="auto"/>
            </w:tcBorders>
            <w:vAlign w:val="center"/>
          </w:tcPr>
          <w:p w14:paraId="025B8B87" w14:textId="77777777" w:rsidR="00952C7D" w:rsidRPr="00060DE6" w:rsidRDefault="00952C7D" w:rsidP="00E37B60">
            <w:pPr>
              <w:tabs>
                <w:tab w:val="left" w:pos="360"/>
                <w:tab w:val="left" w:pos="720"/>
                <w:tab w:val="left" w:pos="1080"/>
                <w:tab w:val="left" w:pos="1440"/>
                <w:tab w:val="left" w:pos="1800"/>
                <w:tab w:val="left" w:pos="2160"/>
              </w:tabs>
              <w:spacing w:line="-240" w:lineRule="auto"/>
              <w:rPr>
                <w:b/>
              </w:rPr>
            </w:pPr>
            <w:r w:rsidRPr="00060DE6">
              <w:rPr>
                <w:b/>
              </w:rPr>
              <w:t>Reporting Deadline</w:t>
            </w:r>
          </w:p>
        </w:tc>
        <w:tc>
          <w:tcPr>
            <w:tcW w:w="2407" w:type="dxa"/>
            <w:tcBorders>
              <w:top w:val="single" w:sz="12" w:space="0" w:color="auto"/>
              <w:bottom w:val="single" w:sz="12" w:space="0" w:color="auto"/>
            </w:tcBorders>
            <w:vAlign w:val="center"/>
          </w:tcPr>
          <w:p w14:paraId="0D0466EE" w14:textId="77777777" w:rsidR="00952C7D" w:rsidRPr="00060DE6" w:rsidRDefault="00952C7D" w:rsidP="00E37B60">
            <w:pPr>
              <w:tabs>
                <w:tab w:val="left" w:pos="360"/>
                <w:tab w:val="left" w:pos="720"/>
                <w:tab w:val="left" w:pos="1080"/>
                <w:tab w:val="left" w:pos="1440"/>
                <w:tab w:val="left" w:pos="1800"/>
                <w:tab w:val="left" w:pos="2160"/>
              </w:tabs>
              <w:spacing w:line="-240" w:lineRule="auto"/>
              <w:rPr>
                <w:b/>
              </w:rPr>
            </w:pPr>
            <w:r w:rsidRPr="00060DE6">
              <w:rPr>
                <w:b/>
              </w:rPr>
              <w:t>Related Condition(s)</w:t>
            </w:r>
          </w:p>
        </w:tc>
      </w:tr>
      <w:tr w:rsidR="00952C7D" w:rsidRPr="00060DE6" w14:paraId="546F15A9" w14:textId="77777777" w:rsidTr="00952C7D">
        <w:tc>
          <w:tcPr>
            <w:tcW w:w="3012" w:type="dxa"/>
            <w:tcBorders>
              <w:top w:val="single" w:sz="12" w:space="0" w:color="auto"/>
            </w:tcBorders>
            <w:vAlign w:val="center"/>
          </w:tcPr>
          <w:p w14:paraId="3A306BEA" w14:textId="011590AA" w:rsidR="00952C7D" w:rsidRPr="00952C7D" w:rsidRDefault="00952C7D" w:rsidP="00952C7D">
            <w:pPr>
              <w:pStyle w:val="BodyText"/>
              <w:spacing w:before="60" w:after="60"/>
              <w:ind w:right="144"/>
            </w:pPr>
            <w:r w:rsidRPr="00952C7D">
              <w:t>Annual Tune Up</w:t>
            </w:r>
          </w:p>
        </w:tc>
        <w:tc>
          <w:tcPr>
            <w:tcW w:w="4163" w:type="dxa"/>
            <w:tcBorders>
              <w:top w:val="single" w:sz="12" w:space="0" w:color="auto"/>
            </w:tcBorders>
            <w:vAlign w:val="center"/>
          </w:tcPr>
          <w:p w14:paraId="6EA8D1C9" w14:textId="0F93EAB2" w:rsidR="00952C7D" w:rsidRPr="00952C7D" w:rsidRDefault="00952C7D" w:rsidP="00952C7D">
            <w:pPr>
              <w:suppressAutoHyphens/>
              <w:spacing w:before="60" w:after="60"/>
              <w:ind w:right="144"/>
            </w:pPr>
            <w:r w:rsidRPr="00952C7D">
              <w:t>Annual</w:t>
            </w:r>
          </w:p>
        </w:tc>
        <w:tc>
          <w:tcPr>
            <w:tcW w:w="2407" w:type="dxa"/>
            <w:tcBorders>
              <w:top w:val="single" w:sz="12" w:space="0" w:color="auto"/>
            </w:tcBorders>
            <w:vAlign w:val="center"/>
          </w:tcPr>
          <w:p w14:paraId="5D850DCB" w14:textId="3B6ECAD2" w:rsidR="00952C7D" w:rsidRPr="00D65AEF" w:rsidRDefault="00D65AEF" w:rsidP="00952C7D">
            <w:pPr>
              <w:pStyle w:val="BodyText"/>
              <w:spacing w:before="60" w:after="60"/>
              <w:ind w:right="144"/>
              <w:rPr>
                <w:b/>
              </w:rPr>
            </w:pPr>
            <w:r w:rsidRPr="00D65AEF">
              <w:rPr>
                <w:b/>
              </w:rPr>
              <w:t>C.17</w:t>
            </w:r>
          </w:p>
        </w:tc>
      </w:tr>
    </w:tbl>
    <w:p w14:paraId="4BC8D3D3" w14:textId="1DD4AC15" w:rsidR="00952C7D" w:rsidRPr="00952C7D" w:rsidRDefault="00952C7D" w:rsidP="00952C7D">
      <w:pPr>
        <w:pStyle w:val="ListParagraph"/>
        <w:suppressAutoHyphens/>
        <w:spacing w:after="120"/>
        <w:ind w:left="360"/>
        <w:contextualSpacing w:val="0"/>
      </w:pPr>
      <w:r>
        <w:t>[Rule 62-213.440(1)(b), F.A.C.]</w:t>
      </w:r>
    </w:p>
    <w:p w14:paraId="7A68F477" w14:textId="74DC3588" w:rsidR="00952C7D" w:rsidRPr="00E36A15" w:rsidRDefault="00E36A15" w:rsidP="00061DE9">
      <w:pPr>
        <w:pStyle w:val="ListParagraph"/>
        <w:numPr>
          <w:ilvl w:val="0"/>
          <w:numId w:val="16"/>
        </w:numPr>
        <w:suppressAutoHyphens/>
        <w:spacing w:before="120" w:after="120"/>
        <w:ind w:left="360"/>
        <w:contextualSpacing w:val="0"/>
        <w:rPr>
          <w:b/>
        </w:rPr>
      </w:pPr>
      <w:r>
        <w:rPr>
          <w:u w:val="single"/>
        </w:rPr>
        <w:t>Other Reporting Requirements</w:t>
      </w:r>
      <w:r>
        <w:t xml:space="preserve">.  </w:t>
      </w:r>
      <w:r w:rsidRPr="008E6BC8">
        <w:t xml:space="preserve">See </w:t>
      </w:r>
      <w:r w:rsidRPr="008E6BC8">
        <w:rPr>
          <w:bCs/>
        </w:rPr>
        <w:t>Appendix RR, Facility-Wide Reporting Requirements</w:t>
      </w:r>
      <w:r w:rsidRPr="008E6BC8">
        <w:t>, for additional reporting requirements.</w:t>
      </w:r>
      <w:r>
        <w:t xml:space="preserve">  [Rule 62-213.440(1)(b), F.A.C.]</w:t>
      </w:r>
    </w:p>
    <w:p w14:paraId="13258584" w14:textId="77777777" w:rsidR="00BA7B57" w:rsidRPr="00DD59E0" w:rsidRDefault="00BA7B57" w:rsidP="00061DE9">
      <w:pPr>
        <w:pStyle w:val="ListParagraph"/>
        <w:numPr>
          <w:ilvl w:val="0"/>
          <w:numId w:val="16"/>
        </w:numPr>
        <w:suppressAutoHyphens/>
        <w:spacing w:before="120"/>
        <w:ind w:left="360"/>
        <w:contextualSpacing w:val="0"/>
        <w:rPr>
          <w:b/>
          <w:szCs w:val="22"/>
          <w:u w:val="double"/>
        </w:rPr>
      </w:pPr>
      <w:bookmarkStart w:id="142" w:name="_Ref504122482"/>
      <w:r w:rsidRPr="00DD59E0">
        <w:rPr>
          <w:szCs w:val="22"/>
          <w:u w:val="single"/>
        </w:rPr>
        <w:t>Tune Up Report</w:t>
      </w:r>
      <w:r w:rsidRPr="00DD59E0">
        <w:rPr>
          <w:szCs w:val="22"/>
        </w:rPr>
        <w:t>.  The permittee is required to submit an annual compliance report with the following information:</w:t>
      </w:r>
      <w:bookmarkEnd w:id="142"/>
    </w:p>
    <w:p w14:paraId="217FE382" w14:textId="77777777" w:rsidR="00BA7B57" w:rsidRPr="00DD59E0" w:rsidRDefault="00BA7B57" w:rsidP="00061DE9">
      <w:pPr>
        <w:pStyle w:val="ListParagraph"/>
        <w:numPr>
          <w:ilvl w:val="0"/>
          <w:numId w:val="19"/>
        </w:numPr>
        <w:spacing w:after="120" w:line="276" w:lineRule="auto"/>
      </w:pPr>
      <w:bookmarkStart w:id="143" w:name="_Hlk504123437"/>
      <w:r w:rsidRPr="00DD59E0">
        <w:t>Company and facility name and address.</w:t>
      </w:r>
      <w:bookmarkEnd w:id="143"/>
    </w:p>
    <w:p w14:paraId="4247C1CD" w14:textId="77777777" w:rsidR="00BA7B57" w:rsidRPr="00DD59E0" w:rsidRDefault="00BA7B57" w:rsidP="00061DE9">
      <w:pPr>
        <w:pStyle w:val="ListParagraph"/>
        <w:numPr>
          <w:ilvl w:val="0"/>
          <w:numId w:val="19"/>
        </w:numPr>
        <w:spacing w:after="120" w:line="276" w:lineRule="auto"/>
      </w:pPr>
      <w:bookmarkStart w:id="144" w:name="_Hlk504123451"/>
      <w:r w:rsidRPr="00DD59E0">
        <w:t>Process unit information, emissions limitations and operating parameter limitations.</w:t>
      </w:r>
      <w:bookmarkEnd w:id="144"/>
    </w:p>
    <w:p w14:paraId="55E2AB90" w14:textId="77777777" w:rsidR="00BA7B57" w:rsidRPr="00DD59E0" w:rsidRDefault="00BA7B57" w:rsidP="00061DE9">
      <w:pPr>
        <w:pStyle w:val="ListParagraph"/>
        <w:numPr>
          <w:ilvl w:val="0"/>
          <w:numId w:val="19"/>
        </w:numPr>
        <w:spacing w:after="120" w:line="276" w:lineRule="auto"/>
      </w:pPr>
      <w:bookmarkStart w:id="145" w:name="_Hlk504123459"/>
      <w:r w:rsidRPr="00DD59E0">
        <w:t>Date of report and beginning and end dates of the reporting period.</w:t>
      </w:r>
      <w:bookmarkEnd w:id="145"/>
    </w:p>
    <w:p w14:paraId="73DCA833" w14:textId="1C40174D" w:rsidR="00BA7B57" w:rsidRPr="00DD59E0" w:rsidRDefault="00BA7B57" w:rsidP="00061DE9">
      <w:pPr>
        <w:pStyle w:val="ListParagraph"/>
        <w:numPr>
          <w:ilvl w:val="0"/>
          <w:numId w:val="19"/>
        </w:numPr>
        <w:spacing w:after="120" w:line="276" w:lineRule="auto"/>
      </w:pPr>
      <w:bookmarkStart w:id="146" w:name="_Hlk504123469"/>
      <w:r w:rsidRPr="00DD59E0">
        <w:t>Include the date of the most recent tune-up for each unit subject to only the requirement to conduct an annual tune up according Specific Condition</w:t>
      </w:r>
      <w:r w:rsidR="00D65AEF">
        <w:t xml:space="preserve"> </w:t>
      </w:r>
      <w:r w:rsidRPr="002E4D64">
        <w:rPr>
          <w:b/>
        </w:rPr>
        <w:fldChar w:fldCharType="begin"/>
      </w:r>
      <w:r w:rsidRPr="002E4D64">
        <w:rPr>
          <w:b/>
        </w:rPr>
        <w:instrText xml:space="preserve"> REF _Ref503965487 \r \h  \* MERGEFORMAT </w:instrText>
      </w:r>
      <w:r w:rsidRPr="002E4D64">
        <w:rPr>
          <w:b/>
        </w:rPr>
      </w:r>
      <w:r w:rsidRPr="002E4D64">
        <w:rPr>
          <w:b/>
        </w:rPr>
        <w:fldChar w:fldCharType="separate"/>
      </w:r>
      <w:r w:rsidR="00D31800">
        <w:rPr>
          <w:b/>
        </w:rPr>
        <w:t>C.12</w:t>
      </w:r>
      <w:r w:rsidRPr="002E4D64">
        <w:rPr>
          <w:b/>
        </w:rPr>
        <w:fldChar w:fldCharType="end"/>
      </w:r>
      <w:r w:rsidRPr="002E4D64">
        <w:t>.  I</w:t>
      </w:r>
      <w:r w:rsidRPr="00DD59E0">
        <w:t>nclude the date of the most recent burner inspection if it was not done annually and was delayed until the next scheduled or unscheduled unit shutdown.</w:t>
      </w:r>
    </w:p>
    <w:p w14:paraId="732D9426" w14:textId="77777777" w:rsidR="00BA7B57" w:rsidRPr="00DD59E0" w:rsidRDefault="00BA7B57" w:rsidP="00061DE9">
      <w:pPr>
        <w:pStyle w:val="ListParagraph"/>
        <w:numPr>
          <w:ilvl w:val="0"/>
          <w:numId w:val="19"/>
        </w:numPr>
        <w:spacing w:after="120" w:line="276" w:lineRule="auto"/>
      </w:pPr>
      <w:r w:rsidRPr="00DD59E0">
        <w:t>Statement by a responsible official with that official’s name, title, and signature, certifying the truth, accuracy, and completeness of the content of the report.</w:t>
      </w:r>
      <w:bookmarkEnd w:id="146"/>
    </w:p>
    <w:p w14:paraId="36997E1A" w14:textId="77777777" w:rsidR="00BA7B57" w:rsidRPr="00DD59E0" w:rsidRDefault="00BA7B57" w:rsidP="00BA7B57">
      <w:pPr>
        <w:pStyle w:val="ListParagraph"/>
        <w:spacing w:after="120"/>
        <w:ind w:left="360"/>
        <w:contextualSpacing w:val="0"/>
      </w:pPr>
      <w:bookmarkStart w:id="147" w:name="_Hlk504123511"/>
      <w:r w:rsidRPr="00DD59E0">
        <w:t>[Rule 62-204.800(11)(b)86., F.A.C.; and, 40 CFR 63.7550(c)(1) &amp; (c)(5)]</w:t>
      </w:r>
    </w:p>
    <w:p w14:paraId="47DD1D45" w14:textId="77777777" w:rsidR="00BA7B57" w:rsidRPr="00DD59E0" w:rsidRDefault="00BA7B57" w:rsidP="00061DE9">
      <w:pPr>
        <w:pStyle w:val="ListParagraph"/>
        <w:numPr>
          <w:ilvl w:val="0"/>
          <w:numId w:val="16"/>
        </w:numPr>
        <w:suppressAutoHyphens/>
        <w:spacing w:before="120"/>
        <w:ind w:left="360"/>
        <w:contextualSpacing w:val="0"/>
      </w:pPr>
      <w:bookmarkStart w:id="148" w:name="_Hlk504123576"/>
      <w:bookmarkEnd w:id="147"/>
      <w:r w:rsidRPr="00DD59E0">
        <w:rPr>
          <w:u w:val="single"/>
        </w:rPr>
        <w:t>NESHAP Subpart DDDDD Recordkeeping</w:t>
      </w:r>
      <w:r w:rsidRPr="00DD59E0">
        <w:t>.  The permittee must keep records according to the following paragraphs:</w:t>
      </w:r>
      <w:bookmarkEnd w:id="148"/>
    </w:p>
    <w:p w14:paraId="08B8CD8A" w14:textId="77777777" w:rsidR="00BA7B57" w:rsidRPr="00DD59E0" w:rsidRDefault="00BA7B57" w:rsidP="00061DE9">
      <w:pPr>
        <w:pStyle w:val="ListParagraph"/>
        <w:numPr>
          <w:ilvl w:val="0"/>
          <w:numId w:val="20"/>
        </w:numPr>
        <w:spacing w:after="120"/>
      </w:pPr>
      <w:bookmarkStart w:id="149" w:name="_Hlk504123612"/>
      <w:r w:rsidRPr="00DD59E0">
        <w:t>A copy of each notification and report submitted to comply with NESHAP Subpart DDDDD, including all documentation supporting any Initial Notification or Notification of Compliance Status or semiannual compliance report that you submitted, according to the requirements in 40 CFR 63.10(b)(2)(xiv) (see Appendix NESHAP Subpart A).</w:t>
      </w:r>
      <w:bookmarkEnd w:id="149"/>
    </w:p>
    <w:p w14:paraId="34B1E912" w14:textId="77777777" w:rsidR="00BA7B57" w:rsidRPr="00DD59E0" w:rsidRDefault="00BA7B57" w:rsidP="00061DE9">
      <w:pPr>
        <w:pStyle w:val="ListParagraph"/>
        <w:numPr>
          <w:ilvl w:val="0"/>
          <w:numId w:val="20"/>
        </w:numPr>
        <w:spacing w:after="120"/>
      </w:pPr>
      <w:bookmarkStart w:id="150" w:name="_Hlk504123623"/>
      <w:r w:rsidRPr="00DD59E0">
        <w:t>Records of performance tests, fuel analyses, or other compliance demonstrations and performance evaluations as required in 40 CFR 63.10(b)(2)(viii) (see Appendix NESHAP Subpart A).</w:t>
      </w:r>
      <w:bookmarkEnd w:id="150"/>
    </w:p>
    <w:p w14:paraId="28472B63" w14:textId="77777777" w:rsidR="00BA7B57" w:rsidRPr="00DD59E0" w:rsidRDefault="00BA7B57" w:rsidP="00BA7B57">
      <w:pPr>
        <w:pStyle w:val="ListParagraph"/>
        <w:spacing w:after="120"/>
        <w:ind w:left="360"/>
        <w:contextualSpacing w:val="0"/>
      </w:pPr>
      <w:bookmarkStart w:id="151" w:name="_Hlk504123634"/>
      <w:r w:rsidRPr="00DD59E0">
        <w:t>[Rule 62-204.800(11)(b)86., F.A.C.; and, 40 CFR 63.7555(a)(1) &amp; (2)]</w:t>
      </w:r>
    </w:p>
    <w:p w14:paraId="29B84F65" w14:textId="381D7328" w:rsidR="0029442F" w:rsidRPr="002E4D64" w:rsidRDefault="0029442F" w:rsidP="00061DE9">
      <w:pPr>
        <w:pStyle w:val="ListParagraph"/>
        <w:numPr>
          <w:ilvl w:val="0"/>
          <w:numId w:val="16"/>
        </w:numPr>
        <w:suppressAutoHyphens/>
        <w:spacing w:before="120"/>
        <w:ind w:left="360"/>
        <w:contextualSpacing w:val="0"/>
      </w:pPr>
      <w:bookmarkStart w:id="152" w:name="_Hlk520448201"/>
      <w:bookmarkStart w:id="153" w:name="_Hlk504472592"/>
      <w:bookmarkEnd w:id="151"/>
      <w:r w:rsidRPr="002E4D64">
        <w:rPr>
          <w:szCs w:val="22"/>
          <w:u w:val="single"/>
        </w:rPr>
        <w:t>Fuel Usage Recordkeeping</w:t>
      </w:r>
      <w:r w:rsidRPr="002E4D64">
        <w:rPr>
          <w:szCs w:val="22"/>
        </w:rPr>
        <w:t>.  The permittee shall record and maintain records of the amount of natural gas combusted during each calendar month by th</w:t>
      </w:r>
      <w:r w:rsidR="00DC6182" w:rsidRPr="002E4D64">
        <w:rPr>
          <w:szCs w:val="22"/>
        </w:rPr>
        <w:t>is unit</w:t>
      </w:r>
      <w:r w:rsidRPr="002E4D64">
        <w:rPr>
          <w:szCs w:val="22"/>
        </w:rPr>
        <w:t xml:space="preserve"> using the hours of operation each month, the maximum heat input rate of 13.23 MMBtu/hr and the most recent natural gas heating value data from the vendor.  [40 CFR 60.48c(g)(2) &amp; Permit No. 0850001-041-AC/PSD-FL-146J &amp; 327G]</w:t>
      </w:r>
    </w:p>
    <w:p w14:paraId="6A938A83" w14:textId="7B5FEA9C" w:rsidR="00BA7B57" w:rsidRPr="00DD59E0" w:rsidRDefault="00BA7B57" w:rsidP="00061DE9">
      <w:pPr>
        <w:pStyle w:val="ListParagraph"/>
        <w:numPr>
          <w:ilvl w:val="0"/>
          <w:numId w:val="16"/>
        </w:numPr>
        <w:suppressAutoHyphens/>
        <w:spacing w:before="120"/>
        <w:ind w:left="360"/>
        <w:contextualSpacing w:val="0"/>
      </w:pPr>
      <w:bookmarkStart w:id="154" w:name="_Hlk520448337"/>
      <w:bookmarkEnd w:id="152"/>
      <w:r w:rsidRPr="00DD59E0">
        <w:rPr>
          <w:u w:val="single"/>
        </w:rPr>
        <w:t>NSPS Subpart Dc Recordkeeping</w:t>
      </w:r>
      <w:r w:rsidRPr="00DD59E0">
        <w:t>.  The permittee shall comply with the following recordkeeping provisions:</w:t>
      </w:r>
    </w:p>
    <w:p w14:paraId="5EA5146B" w14:textId="77777777" w:rsidR="00BA7B57" w:rsidRPr="00DD59E0" w:rsidRDefault="00BA7B57" w:rsidP="00061DE9">
      <w:pPr>
        <w:pStyle w:val="ListParagraph"/>
        <w:numPr>
          <w:ilvl w:val="0"/>
          <w:numId w:val="21"/>
        </w:numPr>
        <w:spacing w:after="120"/>
        <w:ind w:left="720"/>
      </w:pPr>
      <w:r w:rsidRPr="00DD59E0">
        <w:t>If all steam generating units in the facility (including steam generating units not subject to 40 CFR 60, Subpart Dc) combust natural gas and distillate oil meeting the most current requirements of 40 CFR 60.42c to use fuel certification to demonstrate compliance with the SO</w:t>
      </w:r>
      <w:r w:rsidRPr="00DD59E0">
        <w:rPr>
          <w:vertAlign w:val="subscript"/>
        </w:rPr>
        <w:t>2</w:t>
      </w:r>
      <w:r w:rsidRPr="00DD59E0">
        <w:t xml:space="preserve"> standard may elect to record and maintain records of the total amount of each steam generating unit fuel delivered to the facility property during each calendar month.</w:t>
      </w:r>
    </w:p>
    <w:p w14:paraId="7E0D2642" w14:textId="77777777" w:rsidR="00BA7B57" w:rsidRPr="00DD59E0" w:rsidRDefault="00BA7B57" w:rsidP="00061DE9">
      <w:pPr>
        <w:pStyle w:val="ListParagraph"/>
        <w:numPr>
          <w:ilvl w:val="0"/>
          <w:numId w:val="21"/>
        </w:numPr>
        <w:ind w:left="720"/>
      </w:pPr>
      <w:r w:rsidRPr="00DD59E0">
        <w:t xml:space="preserve">All records required under this specific condition shall be maintained by the owner or operator of the affected facility for a period of 5 years following the date of such records.  </w:t>
      </w:r>
    </w:p>
    <w:p w14:paraId="5981A690" w14:textId="2ED2AB51" w:rsidR="00BA7B57" w:rsidRPr="00DD59E0" w:rsidRDefault="00BA7B57" w:rsidP="00BA7B57">
      <w:pPr>
        <w:spacing w:after="120"/>
        <w:ind w:left="360"/>
      </w:pPr>
      <w:r w:rsidRPr="00DD59E0">
        <w:t>[Rules 62-204.800(8)(b)4., F.A.C. &amp; 62-213.205(1)(e); and, 40 CFR 60.48c(g)(3) &amp; (</w:t>
      </w:r>
      <w:proofErr w:type="spellStart"/>
      <w:r w:rsidRPr="00DD59E0">
        <w:t>i</w:t>
      </w:r>
      <w:proofErr w:type="spellEnd"/>
      <w:r w:rsidRPr="00DD59E0">
        <w:t>)]</w:t>
      </w:r>
    </w:p>
    <w:bookmarkEnd w:id="154"/>
    <w:p w14:paraId="5DDFD46D" w14:textId="6CE1C08E" w:rsidR="00BA7B57" w:rsidRDefault="00BA7B57" w:rsidP="00BA7B57">
      <w:pPr>
        <w:spacing w:after="120"/>
        <w:ind w:left="360"/>
        <w:rPr>
          <w:i/>
        </w:rPr>
      </w:pPr>
      <w:r w:rsidRPr="00DD59E0">
        <w:rPr>
          <w:i/>
        </w:rPr>
        <w:t>{Permitting Note:  Use of the recordkeeping options in 40 CFR 60.42c(g)(3) (see paragraph b. and Appendix NSPS, Subpart Dc) is predicated on all steam generating units (e.g., Units 1, 2 and the auxiliary boiler) burning fuel that is compliant with SO</w:t>
      </w:r>
      <w:r w:rsidRPr="00DD59E0">
        <w:rPr>
          <w:i/>
          <w:vertAlign w:val="subscript"/>
        </w:rPr>
        <w:t>2</w:t>
      </w:r>
      <w:r w:rsidRPr="00DD59E0">
        <w:rPr>
          <w:i/>
        </w:rPr>
        <w:t xml:space="preserve"> standards in NSPS Subpart Dc.  Oil burned by Units 1 and 2 is limited to sulfur content of 0.7% by weight or less.  This oil is not guaranteed to demonstrate compliance with the NSPS Subpart Dc standard of 0.5% sulfur by weight or less, unless certification from the fuel supplier (see 40 CFR 60.42c(h) states otherwise.  The recordkeeping options in 40 CFR 60.42c(g)(3) may also be used if every steam generating unit in the facility is only burning natural gas.} </w:t>
      </w:r>
    </w:p>
    <w:p w14:paraId="2BA50431" w14:textId="4BA91064" w:rsidR="00BA7B57" w:rsidRPr="00BA7B57" w:rsidRDefault="00BA7B57" w:rsidP="00BA7B57">
      <w:pPr>
        <w:spacing w:after="120"/>
      </w:pPr>
      <w:r>
        <w:rPr>
          <w:b/>
          <w:u w:val="single"/>
        </w:rPr>
        <w:t>Other Requirements</w:t>
      </w:r>
    </w:p>
    <w:bookmarkEnd w:id="153"/>
    <w:p w14:paraId="3EFEA5D5" w14:textId="6F894821" w:rsidR="00E36A15" w:rsidRPr="00BA7B57" w:rsidRDefault="00BA7B57" w:rsidP="00061DE9">
      <w:pPr>
        <w:pStyle w:val="ListParagraph"/>
        <w:numPr>
          <w:ilvl w:val="0"/>
          <w:numId w:val="16"/>
        </w:numPr>
        <w:suppressAutoHyphens/>
        <w:spacing w:before="120" w:after="120"/>
        <w:ind w:left="360"/>
        <w:contextualSpacing w:val="0"/>
        <w:rPr>
          <w:b/>
        </w:rPr>
      </w:pPr>
      <w:r w:rsidRPr="00DD59E0">
        <w:rPr>
          <w:szCs w:val="22"/>
          <w:u w:val="single"/>
        </w:rPr>
        <w:t>NSPS Requirements</w:t>
      </w:r>
      <w:r w:rsidRPr="00DD59E0">
        <w:rPr>
          <w:szCs w:val="22"/>
        </w:rPr>
        <w:t>.  This unit shall comply with all applicable provisions of NSPS in 40 CFR 60 including Subpart A (General Provisions) and Subpart Dc (Standards of Performance for Small Industrial-Commercial-Institutional Steam Generating Units).  See Appendix NSPS Subpart A and Appendix NSPS Subpart Dc for provisions of NSPS Subparts A and Dc, respectively.  [Rule 62-204.800(8)(b)4. &amp; (8)(d), F.A.C.; and, 40 CFR 60, Subparts A &amp; Dc]</w:t>
      </w:r>
    </w:p>
    <w:p w14:paraId="00A11327" w14:textId="24B63D49" w:rsidR="00BA7B57" w:rsidRPr="002D39D2" w:rsidRDefault="00BA7B57" w:rsidP="00061DE9">
      <w:pPr>
        <w:pStyle w:val="ListParagraph"/>
        <w:numPr>
          <w:ilvl w:val="0"/>
          <w:numId w:val="16"/>
        </w:numPr>
        <w:suppressAutoHyphens/>
        <w:spacing w:before="120" w:after="120"/>
        <w:ind w:left="360"/>
        <w:contextualSpacing w:val="0"/>
        <w:rPr>
          <w:b/>
        </w:rPr>
      </w:pPr>
      <w:r w:rsidRPr="00DD59E0">
        <w:rPr>
          <w:szCs w:val="22"/>
          <w:u w:val="single"/>
        </w:rPr>
        <w:t>NESHAP Requirements</w:t>
      </w:r>
      <w:r w:rsidRPr="00DD59E0">
        <w:rPr>
          <w:szCs w:val="22"/>
        </w:rPr>
        <w:t>.  This unit shall comply with all applicable provisions of NESHAP in 40 CFR 63 including Subpart A (General Provisions) and Subpart DDDDD (NESHAP for Major Sources:  Industrial, Commercial, and Institutional Boilers and Process Heaters).  See Appendix NESHAP Subpart A and Appendix NESHAP Subpart DDDDD for provisions of NESHAP Subparts A and DDDDD, respectively.  [Rule 62-204.800(11)(b)86. &amp; (11)(d)1., F.A.C.; and, 40 CFR 63, Subparts A &amp; DDDDD]</w:t>
      </w:r>
    </w:p>
    <w:p w14:paraId="6F943886" w14:textId="24EB01D3" w:rsidR="002D39D2" w:rsidRDefault="00585225" w:rsidP="00F3656E">
      <w:pPr>
        <w:tabs>
          <w:tab w:val="left" w:pos="0"/>
        </w:tabs>
        <w:suppressAutoHyphens/>
        <w:spacing w:before="120" w:after="120"/>
      </w:pPr>
      <w:hyperlink w:anchor="TableofContents" w:tooltip=" " w:history="1">
        <w:r w:rsidR="002D39D2" w:rsidRPr="00C638F9">
          <w:rPr>
            <w:rStyle w:val="Hyperlink"/>
          </w:rPr>
          <w:t>Table of Contents</w:t>
        </w:r>
      </w:hyperlink>
    </w:p>
    <w:p w14:paraId="7E59D024" w14:textId="77777777" w:rsidR="002D39D2" w:rsidRPr="002D39D2" w:rsidRDefault="002D39D2" w:rsidP="002D39D2">
      <w:pPr>
        <w:suppressAutoHyphens/>
        <w:spacing w:before="120" w:after="120"/>
        <w:ind w:left="360"/>
        <w:rPr>
          <w:b/>
        </w:rPr>
      </w:pPr>
    </w:p>
    <w:bookmarkEnd w:id="140"/>
    <w:p w14:paraId="2017D990" w14:textId="77777777" w:rsidR="004251AB" w:rsidRDefault="004251AB" w:rsidP="00051325">
      <w:pPr>
        <w:tabs>
          <w:tab w:val="left" w:pos="0"/>
        </w:tabs>
        <w:suppressAutoHyphens/>
        <w:spacing w:before="120" w:after="120"/>
        <w:rPr>
          <w:b/>
        </w:rPr>
        <w:sectPr w:rsidR="004251AB" w:rsidSect="005F79CF">
          <w:headerReference w:type="even" r:id="rId56"/>
          <w:headerReference w:type="default" r:id="rId57"/>
          <w:headerReference w:type="first" r:id="rId58"/>
          <w:pgSz w:w="12240" w:h="15840" w:code="1"/>
          <w:pgMar w:top="1080" w:right="1080" w:bottom="1080" w:left="1080" w:header="720" w:footer="720" w:gutter="0"/>
          <w:paperSrc w:first="15" w:other="15"/>
          <w:cols w:space="720"/>
        </w:sectPr>
      </w:pPr>
    </w:p>
    <w:p w14:paraId="7FF697D7" w14:textId="65711CA4" w:rsidR="00804718" w:rsidRDefault="00804718" w:rsidP="00804718">
      <w:pPr>
        <w:spacing w:after="60"/>
        <w:rPr>
          <w:b/>
        </w:rPr>
      </w:pPr>
      <w:bookmarkStart w:id="155" w:name="Section3D"/>
      <w:bookmarkStart w:id="156" w:name="_Hlk520462232"/>
      <w:bookmarkEnd w:id="155"/>
      <w:r w:rsidRPr="00804718">
        <w:rPr>
          <w:b/>
        </w:rPr>
        <w:t>The specific conditions in this section apply to the following emissions units:</w:t>
      </w:r>
    </w:p>
    <w:tbl>
      <w:tblPr>
        <w:tblW w:w="9954" w:type="dxa"/>
        <w:tblInd w:w="10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top w:w="43" w:type="dxa"/>
          <w:left w:w="72" w:type="dxa"/>
          <w:bottom w:w="43" w:type="dxa"/>
          <w:right w:w="72" w:type="dxa"/>
        </w:tblCellMar>
        <w:tblLook w:val="0000" w:firstRow="0" w:lastRow="0" w:firstColumn="0" w:lastColumn="0" w:noHBand="0" w:noVBand="0"/>
      </w:tblPr>
      <w:tblGrid>
        <w:gridCol w:w="939"/>
        <w:gridCol w:w="9015"/>
      </w:tblGrid>
      <w:tr w:rsidR="00804718" w14:paraId="1D4D6F0D" w14:textId="77777777" w:rsidTr="00804718">
        <w:tc>
          <w:tcPr>
            <w:tcW w:w="939" w:type="dxa"/>
            <w:tcBorders>
              <w:top w:val="single" w:sz="12" w:space="0" w:color="auto"/>
              <w:bottom w:val="single" w:sz="12" w:space="0" w:color="auto"/>
            </w:tcBorders>
          </w:tcPr>
          <w:p w14:paraId="48D387BB" w14:textId="77777777" w:rsidR="00804718" w:rsidRPr="00D075B0" w:rsidRDefault="00804718" w:rsidP="00E37B60">
            <w:pPr>
              <w:jc w:val="center"/>
              <w:rPr>
                <w:b/>
                <w:szCs w:val="22"/>
              </w:rPr>
            </w:pPr>
            <w:r w:rsidRPr="00D075B0">
              <w:rPr>
                <w:szCs w:val="22"/>
              </w:rPr>
              <w:br w:type="page"/>
            </w:r>
            <w:r w:rsidRPr="00D075B0">
              <w:rPr>
                <w:szCs w:val="22"/>
              </w:rPr>
              <w:br w:type="page"/>
            </w:r>
            <w:r w:rsidRPr="00D075B0">
              <w:rPr>
                <w:b/>
                <w:szCs w:val="22"/>
              </w:rPr>
              <w:t>EU No.</w:t>
            </w:r>
          </w:p>
        </w:tc>
        <w:tc>
          <w:tcPr>
            <w:tcW w:w="9015" w:type="dxa"/>
            <w:tcBorders>
              <w:top w:val="single" w:sz="12" w:space="0" w:color="auto"/>
              <w:bottom w:val="single" w:sz="12" w:space="0" w:color="auto"/>
            </w:tcBorders>
          </w:tcPr>
          <w:p w14:paraId="760AF45C" w14:textId="77777777" w:rsidR="00804718" w:rsidRPr="00D075B0" w:rsidRDefault="00804718" w:rsidP="00E37B60">
            <w:pPr>
              <w:rPr>
                <w:b/>
                <w:szCs w:val="22"/>
              </w:rPr>
            </w:pPr>
            <w:r w:rsidRPr="00D075B0">
              <w:rPr>
                <w:b/>
                <w:szCs w:val="22"/>
              </w:rPr>
              <w:t>Brief Description</w:t>
            </w:r>
          </w:p>
        </w:tc>
      </w:tr>
      <w:tr w:rsidR="00804718" w14:paraId="5C6C275C" w14:textId="77777777" w:rsidTr="00804718">
        <w:tc>
          <w:tcPr>
            <w:tcW w:w="939" w:type="dxa"/>
            <w:tcBorders>
              <w:top w:val="single" w:sz="12" w:space="0" w:color="auto"/>
            </w:tcBorders>
            <w:vAlign w:val="center"/>
          </w:tcPr>
          <w:p w14:paraId="3EAA027D" w14:textId="5B91BC4C" w:rsidR="00804718" w:rsidRPr="00804718" w:rsidRDefault="00804718" w:rsidP="00804718">
            <w:pPr>
              <w:jc w:val="center"/>
              <w:rPr>
                <w:szCs w:val="22"/>
              </w:rPr>
            </w:pPr>
            <w:r w:rsidRPr="00804718">
              <w:rPr>
                <w:szCs w:val="22"/>
              </w:rPr>
              <w:t>011</w:t>
            </w:r>
          </w:p>
        </w:tc>
        <w:tc>
          <w:tcPr>
            <w:tcW w:w="9015" w:type="dxa"/>
            <w:tcBorders>
              <w:top w:val="single" w:sz="12" w:space="0" w:color="auto"/>
            </w:tcBorders>
            <w:vAlign w:val="center"/>
          </w:tcPr>
          <w:p w14:paraId="1B2E5B2A" w14:textId="138EBF46" w:rsidR="00804718" w:rsidRPr="00D075B0" w:rsidRDefault="00804718" w:rsidP="00804718">
            <w:pPr>
              <w:rPr>
                <w:szCs w:val="22"/>
              </w:rPr>
            </w:pPr>
            <w:r w:rsidRPr="00C16FF6">
              <w:rPr>
                <w:szCs w:val="22"/>
              </w:rPr>
              <w:t>170 MW Gas Turbine with Gas Fired HRSG (CT 8A)</w:t>
            </w:r>
          </w:p>
        </w:tc>
      </w:tr>
      <w:tr w:rsidR="00804718" w14:paraId="25790BE0" w14:textId="77777777" w:rsidTr="00804718">
        <w:tc>
          <w:tcPr>
            <w:tcW w:w="939" w:type="dxa"/>
            <w:vAlign w:val="center"/>
          </w:tcPr>
          <w:p w14:paraId="48379476" w14:textId="316307D9" w:rsidR="00804718" w:rsidRPr="00804718" w:rsidRDefault="00804718" w:rsidP="00804718">
            <w:pPr>
              <w:jc w:val="center"/>
              <w:rPr>
                <w:szCs w:val="22"/>
              </w:rPr>
            </w:pPr>
            <w:r w:rsidRPr="00804718">
              <w:rPr>
                <w:szCs w:val="22"/>
              </w:rPr>
              <w:t>012</w:t>
            </w:r>
          </w:p>
        </w:tc>
        <w:tc>
          <w:tcPr>
            <w:tcW w:w="9015" w:type="dxa"/>
            <w:vAlign w:val="center"/>
          </w:tcPr>
          <w:p w14:paraId="17474D9C" w14:textId="664CA668" w:rsidR="00804718" w:rsidRDefault="00804718" w:rsidP="00804718">
            <w:pPr>
              <w:rPr>
                <w:highlight w:val="yellow"/>
              </w:rPr>
            </w:pPr>
            <w:r w:rsidRPr="00C16FF6">
              <w:rPr>
                <w:szCs w:val="22"/>
              </w:rPr>
              <w:t>170 MW Gas Turbine with Gas Fired HRSG (CT 8B)</w:t>
            </w:r>
          </w:p>
        </w:tc>
      </w:tr>
      <w:tr w:rsidR="00804718" w14:paraId="3B1E97C7" w14:textId="77777777" w:rsidTr="00804718">
        <w:tc>
          <w:tcPr>
            <w:tcW w:w="939" w:type="dxa"/>
            <w:vAlign w:val="center"/>
          </w:tcPr>
          <w:p w14:paraId="0A10D9E6" w14:textId="3EBC604D" w:rsidR="00804718" w:rsidRPr="00804718" w:rsidRDefault="00804718" w:rsidP="00804718">
            <w:pPr>
              <w:jc w:val="center"/>
              <w:rPr>
                <w:szCs w:val="22"/>
              </w:rPr>
            </w:pPr>
            <w:r w:rsidRPr="00804718">
              <w:rPr>
                <w:szCs w:val="22"/>
              </w:rPr>
              <w:t>017</w:t>
            </w:r>
          </w:p>
        </w:tc>
        <w:tc>
          <w:tcPr>
            <w:tcW w:w="9015" w:type="dxa"/>
            <w:vAlign w:val="center"/>
          </w:tcPr>
          <w:p w14:paraId="43840773" w14:textId="2598CF06" w:rsidR="00804718" w:rsidRDefault="00804718" w:rsidP="00804718">
            <w:pPr>
              <w:rPr>
                <w:highlight w:val="yellow"/>
              </w:rPr>
            </w:pPr>
            <w:r w:rsidRPr="00C16FF6">
              <w:rPr>
                <w:szCs w:val="22"/>
              </w:rPr>
              <w:t>170 MW Gas Turbine with Gas Fired HRSG (CT 8C)</w:t>
            </w:r>
          </w:p>
        </w:tc>
      </w:tr>
      <w:tr w:rsidR="00804718" w14:paraId="18EB859F" w14:textId="77777777" w:rsidTr="00804718">
        <w:tc>
          <w:tcPr>
            <w:tcW w:w="939" w:type="dxa"/>
            <w:vAlign w:val="center"/>
          </w:tcPr>
          <w:p w14:paraId="3C2ECABD" w14:textId="0D721B40" w:rsidR="00804718" w:rsidRPr="00804718" w:rsidRDefault="00804718" w:rsidP="00804718">
            <w:pPr>
              <w:jc w:val="center"/>
              <w:rPr>
                <w:szCs w:val="22"/>
              </w:rPr>
            </w:pPr>
            <w:r w:rsidRPr="00804718">
              <w:rPr>
                <w:szCs w:val="22"/>
              </w:rPr>
              <w:t>018</w:t>
            </w:r>
          </w:p>
        </w:tc>
        <w:tc>
          <w:tcPr>
            <w:tcW w:w="9015" w:type="dxa"/>
            <w:vAlign w:val="center"/>
          </w:tcPr>
          <w:p w14:paraId="6A249816" w14:textId="724AE860" w:rsidR="00804718" w:rsidRDefault="00804718" w:rsidP="00804718">
            <w:pPr>
              <w:rPr>
                <w:highlight w:val="yellow"/>
              </w:rPr>
            </w:pPr>
            <w:r w:rsidRPr="00C16FF6">
              <w:rPr>
                <w:szCs w:val="22"/>
              </w:rPr>
              <w:t>170 MW Gas Turbine with Gas Fired HRSG (CT 8D)</w:t>
            </w:r>
          </w:p>
        </w:tc>
      </w:tr>
    </w:tbl>
    <w:p w14:paraId="74D96B49" w14:textId="5FC4A7D2" w:rsidR="003A3118" w:rsidRPr="002E4D64" w:rsidRDefault="003A3118" w:rsidP="003A3118">
      <w:pPr>
        <w:widowControl w:val="0"/>
        <w:spacing w:before="120" w:after="120"/>
        <w:rPr>
          <w:szCs w:val="22"/>
        </w:rPr>
      </w:pPr>
      <w:bookmarkStart w:id="157" w:name="_Hlk505246662"/>
      <w:r w:rsidRPr="002E4D64">
        <w:rPr>
          <w:szCs w:val="22"/>
        </w:rPr>
        <w:t xml:space="preserve">Each CT (8A, 8B, 8C and 8D) consists of a nominal </w:t>
      </w:r>
      <w:r w:rsidR="00E2541F" w:rsidRPr="002E4D64">
        <w:rPr>
          <w:szCs w:val="22"/>
        </w:rPr>
        <w:t xml:space="preserve">207.4 </w:t>
      </w:r>
      <w:r w:rsidRPr="002E4D64">
        <w:rPr>
          <w:szCs w:val="22"/>
        </w:rPr>
        <w:t xml:space="preserve">MW General Electric Model PG7241(FA) gas turbine-electrical generator set, an automated gas turbine control system, an inlet air filtration system, an evaporative inlet air cooling system, and associated support equipment.  Each CT is coupled with a HRSG equipped with a 495 MMBtu/hr natural gas fired duct burner.  Steam from each HRSG is delivered to the single steam turbine driven electrical generator that serves all four CT/HRSG systems, which has a nominal capacity of 470 MW.  The total nominal generating capacity of the (one “4-on-1” set) combined cycle unit is </w:t>
      </w:r>
      <w:r w:rsidR="00E2541F" w:rsidRPr="002E4D64">
        <w:rPr>
          <w:szCs w:val="22"/>
        </w:rPr>
        <w:t xml:space="preserve">1,300.4 </w:t>
      </w:r>
      <w:r w:rsidRPr="002E4D64">
        <w:rPr>
          <w:szCs w:val="22"/>
        </w:rPr>
        <w:t xml:space="preserve">MW.  The stack parameters for each CT/HRSG are: 120 feet in height; 19 feet in diameter; exhaust flow rates of 1,004,200 acfm for natural gas firing and 1,193,900 acfm for oil firing; and gas exit temperatures of 202°F (gas) and 295°F (oil).  At a compressor inlet air temperature of 59°F, the heat input rate to each CT based on lower heating value (LHV) is approximately </w:t>
      </w:r>
      <w:r w:rsidR="003E4DD2" w:rsidRPr="002E4D64">
        <w:rPr>
          <w:szCs w:val="22"/>
        </w:rPr>
        <w:t xml:space="preserve">1,884 </w:t>
      </w:r>
      <w:r w:rsidRPr="002E4D64">
        <w:rPr>
          <w:szCs w:val="22"/>
        </w:rPr>
        <w:t>MMBtu/hr (gas) and 1,885 MMBtu/hour (oil).</w:t>
      </w:r>
    </w:p>
    <w:p w14:paraId="53F5B785" w14:textId="3C74A0B8" w:rsidR="003A3118" w:rsidRPr="002E4D64" w:rsidRDefault="003A3118" w:rsidP="003A3118">
      <w:pPr>
        <w:tabs>
          <w:tab w:val="left" w:pos="0"/>
        </w:tabs>
        <w:suppressAutoHyphens/>
        <w:spacing w:after="120"/>
        <w:outlineLvl w:val="0"/>
        <w:rPr>
          <w:szCs w:val="22"/>
        </w:rPr>
      </w:pPr>
      <w:bookmarkStart w:id="158" w:name="_Hlk505246719"/>
      <w:bookmarkEnd w:id="157"/>
      <w:r w:rsidRPr="002E4D64">
        <w:rPr>
          <w:szCs w:val="22"/>
        </w:rPr>
        <w:t>The CTs use natural gas as the primary fuel and distillate oil as a restricted alternate fuel.  The efficient combustion of natural gas at high temperatures minimizes emissions of CO, PM/PM</w:t>
      </w:r>
      <w:r w:rsidRPr="002E4D64">
        <w:rPr>
          <w:szCs w:val="22"/>
          <w:vertAlign w:val="subscript"/>
        </w:rPr>
        <w:t>10</w:t>
      </w:r>
      <w:r w:rsidRPr="002E4D64">
        <w:rPr>
          <w:szCs w:val="22"/>
        </w:rPr>
        <w:t>, SAM, SO</w:t>
      </w:r>
      <w:r w:rsidRPr="002E4D64">
        <w:rPr>
          <w:szCs w:val="22"/>
          <w:vertAlign w:val="subscript"/>
        </w:rPr>
        <w:t>2</w:t>
      </w:r>
      <w:r w:rsidRPr="002E4D64">
        <w:rPr>
          <w:szCs w:val="22"/>
        </w:rPr>
        <w:t>, and VOC.  NO</w:t>
      </w:r>
      <w:r w:rsidRPr="002E4D64">
        <w:rPr>
          <w:szCs w:val="22"/>
          <w:vertAlign w:val="subscript"/>
        </w:rPr>
        <w:t>X</w:t>
      </w:r>
      <w:r w:rsidRPr="002E4D64">
        <w:rPr>
          <w:szCs w:val="22"/>
        </w:rPr>
        <w:t xml:space="preserve"> emissions are reduced by Dry Low-NO</w:t>
      </w:r>
      <w:r w:rsidRPr="002E4D64">
        <w:rPr>
          <w:szCs w:val="22"/>
          <w:vertAlign w:val="subscript"/>
        </w:rPr>
        <w:t>X</w:t>
      </w:r>
      <w:r w:rsidRPr="002E4D64">
        <w:rPr>
          <w:szCs w:val="22"/>
        </w:rPr>
        <w:t xml:space="preserve"> (DLN) combustion technology.  A selective catalytic reduction (SCR) system combined with DLN combustion technology further reduces NO</w:t>
      </w:r>
      <w:r w:rsidRPr="002E4D64">
        <w:rPr>
          <w:szCs w:val="22"/>
          <w:vertAlign w:val="subscript"/>
        </w:rPr>
        <w:t>X</w:t>
      </w:r>
      <w:r w:rsidRPr="002E4D64">
        <w:rPr>
          <w:szCs w:val="22"/>
        </w:rPr>
        <w:t xml:space="preserve"> emissions during combined cycle mode.  Each CT is equipped with CEMS to measure and record CO and NO</w:t>
      </w:r>
      <w:r w:rsidRPr="002E4D64">
        <w:rPr>
          <w:szCs w:val="22"/>
          <w:vertAlign w:val="subscript"/>
        </w:rPr>
        <w:t>X</w:t>
      </w:r>
      <w:r w:rsidRPr="002E4D64">
        <w:rPr>
          <w:szCs w:val="22"/>
        </w:rPr>
        <w:t xml:space="preserve"> emissions as well as flue gas O</w:t>
      </w:r>
      <w:r w:rsidRPr="002E4D64">
        <w:rPr>
          <w:szCs w:val="22"/>
          <w:vertAlign w:val="subscript"/>
        </w:rPr>
        <w:t>2</w:t>
      </w:r>
      <w:r w:rsidRPr="002E4D64">
        <w:rPr>
          <w:szCs w:val="22"/>
        </w:rPr>
        <w:t xml:space="preserve"> or CO</w:t>
      </w:r>
      <w:r w:rsidRPr="002E4D64">
        <w:rPr>
          <w:szCs w:val="22"/>
          <w:vertAlign w:val="subscript"/>
        </w:rPr>
        <w:t>2</w:t>
      </w:r>
      <w:r w:rsidRPr="002E4D64">
        <w:rPr>
          <w:szCs w:val="22"/>
        </w:rPr>
        <w:t xml:space="preserve"> content.  CAM does not apply since these emissions units have NO</w:t>
      </w:r>
      <w:r w:rsidRPr="002E4D64">
        <w:rPr>
          <w:szCs w:val="22"/>
          <w:vertAlign w:val="subscript"/>
        </w:rPr>
        <w:t>X</w:t>
      </w:r>
      <w:r w:rsidRPr="002E4D64">
        <w:rPr>
          <w:szCs w:val="22"/>
        </w:rPr>
        <w:t xml:space="preserve"> CEMS which are used to demonstrate continuous compliance.</w:t>
      </w:r>
      <w:bookmarkEnd w:id="158"/>
    </w:p>
    <w:p w14:paraId="148E47A7" w14:textId="77777777" w:rsidR="003A3118" w:rsidRPr="002E4D64" w:rsidRDefault="003A3118" w:rsidP="003A3118">
      <w:pPr>
        <w:pStyle w:val="BodyText2"/>
        <w:spacing w:after="60" w:line="240" w:lineRule="auto"/>
        <w:rPr>
          <w:szCs w:val="22"/>
        </w:rPr>
      </w:pPr>
      <w:bookmarkStart w:id="159" w:name="_Hlk505246747"/>
      <w:r w:rsidRPr="002E4D64">
        <w:rPr>
          <w:szCs w:val="22"/>
        </w:rPr>
        <w:t>Emissions Units 8A and 8B commenced commercial simple cycle operation in November 2001.  In a permitting action issued on 2003, these two existing units in addition to two new units conformed the (one “4-on-1” set) combined cycle combustion system (Units 8A, 8B, 8C and 8D) that commenced commercial operation on June 30, 2005.</w:t>
      </w:r>
      <w:bookmarkEnd w:id="159"/>
    </w:p>
    <w:p w14:paraId="10CBC70A" w14:textId="77777777" w:rsidR="002E6D65" w:rsidRPr="002E4D64" w:rsidRDefault="00C21235" w:rsidP="003A3118">
      <w:pPr>
        <w:spacing w:before="120" w:after="120"/>
        <w:rPr>
          <w:i/>
          <w:szCs w:val="22"/>
        </w:rPr>
      </w:pPr>
      <w:r w:rsidRPr="002E4D64">
        <w:rPr>
          <w:i/>
          <w:szCs w:val="22"/>
        </w:rPr>
        <w:t>{Permitting Note:  These emissions units are regulated under:  40 CFR 60, Subpart A, General Provisions, and Subpart KKKK, Standards of Performance for Stationary Combustion Turbines, adopted by reference in Rules 62-204.800(8)(d) and (8)(b)84., F.A.C., respectively; 40 CFR 63, Subpart A, General Provisions, and Subpart YYYY, NESHAP for Stationary Combustion Turbines, adopted by reference in Rule 62-204.800(11)(d)1. and (11)(b)81., F.A.C., respectively; Rule 62-212.400, F.A.C., BACT for CO, NO</w:t>
      </w:r>
      <w:r w:rsidRPr="002E4D64">
        <w:rPr>
          <w:i/>
          <w:szCs w:val="22"/>
          <w:vertAlign w:val="subscript"/>
        </w:rPr>
        <w:t>X</w:t>
      </w:r>
      <w:r w:rsidR="002E6D65" w:rsidRPr="002E4D64">
        <w:rPr>
          <w:i/>
          <w:szCs w:val="22"/>
        </w:rPr>
        <w:t>, PM/PM</w:t>
      </w:r>
      <w:r w:rsidR="002E6D65" w:rsidRPr="002E4D64">
        <w:rPr>
          <w:i/>
          <w:szCs w:val="22"/>
          <w:vertAlign w:val="subscript"/>
        </w:rPr>
        <w:t>10</w:t>
      </w:r>
      <w:r w:rsidR="002E6D65" w:rsidRPr="002E4D64">
        <w:rPr>
          <w:i/>
          <w:szCs w:val="22"/>
        </w:rPr>
        <w:t>, SO</w:t>
      </w:r>
      <w:r w:rsidR="002E6D65" w:rsidRPr="002E4D64">
        <w:rPr>
          <w:i/>
          <w:szCs w:val="22"/>
          <w:vertAlign w:val="subscript"/>
        </w:rPr>
        <w:t>2</w:t>
      </w:r>
      <w:r w:rsidR="002E6D65" w:rsidRPr="002E4D64">
        <w:rPr>
          <w:i/>
          <w:szCs w:val="22"/>
        </w:rPr>
        <w:t>, SAM and VOC under Permit No. 0850001-010-AC/PSD-FL-327, which was issued on 4/16/2003 and modified on 7/7/2005, and superseded Permit No. PSD-FL-286; and, Chapter 62-214, F.A.C., the Phase II Acid Rain Program as specified in Section IV of this Permit.</w:t>
      </w:r>
    </w:p>
    <w:p w14:paraId="014D402F" w14:textId="0EB28C1F" w:rsidR="00C21235" w:rsidRPr="002E4D64" w:rsidRDefault="002E6D65" w:rsidP="003A3118">
      <w:pPr>
        <w:spacing w:before="120" w:after="120"/>
        <w:rPr>
          <w:i/>
          <w:szCs w:val="22"/>
        </w:rPr>
      </w:pPr>
      <w:r w:rsidRPr="002E4D64">
        <w:rPr>
          <w:i/>
          <w:szCs w:val="22"/>
        </w:rPr>
        <w:t>On March 5, 2004, EPA promulgated 40 CFR 63, Subpart YYYY – National Emission Standards for Hazardous Air Pollutants for Stationary Combustion Turbines built after January 14, 2003.  Unit 8 was under contractual obligations before this date and is therefore an existing unit.  Currently, ‘existing combustion turbines’ are not required to meet the emission limitations, notifications, reporting or any other requirements of 40 CFR 63, Subpart YYYY or 40 CFR 63, Subpart A, pursuant to 40 CFR 63.6090(b)(4).  EPA may at a future date promulgate standards for existing units.}</w:t>
      </w:r>
    </w:p>
    <w:bookmarkEnd w:id="156"/>
    <w:p w14:paraId="2144A6F0" w14:textId="10E06627" w:rsidR="003A3118" w:rsidRDefault="003A3118" w:rsidP="003A3118">
      <w:pPr>
        <w:spacing w:before="120" w:after="120"/>
        <w:rPr>
          <w:b/>
          <w:u w:val="single"/>
        </w:rPr>
      </w:pPr>
      <w:r>
        <w:rPr>
          <w:b/>
          <w:u w:val="single"/>
        </w:rPr>
        <w:t>Essential Potential to Emit (PTE) Parameters</w:t>
      </w:r>
    </w:p>
    <w:p w14:paraId="0BBB9620" w14:textId="59F237D5" w:rsidR="00CC0EB1" w:rsidRDefault="00CC0EB1" w:rsidP="00061DE9">
      <w:pPr>
        <w:pStyle w:val="ListParagraph"/>
        <w:numPr>
          <w:ilvl w:val="0"/>
          <w:numId w:val="22"/>
        </w:numPr>
        <w:spacing w:before="120" w:after="120"/>
        <w:ind w:left="360"/>
        <w:contextualSpacing w:val="0"/>
        <w:rPr>
          <w:szCs w:val="22"/>
        </w:rPr>
      </w:pPr>
      <w:r w:rsidRPr="00CC0EB1">
        <w:rPr>
          <w:szCs w:val="22"/>
          <w:u w:val="single"/>
        </w:rPr>
        <w:t xml:space="preserve">Permitted Capacity </w:t>
      </w:r>
      <w:r>
        <w:rPr>
          <w:szCs w:val="22"/>
          <w:u w:val="single"/>
        </w:rPr>
        <w:t>–</w:t>
      </w:r>
      <w:r w:rsidRPr="00CC0EB1">
        <w:rPr>
          <w:szCs w:val="22"/>
          <w:u w:val="single"/>
        </w:rPr>
        <w:t xml:space="preserve"> Gas</w:t>
      </w:r>
      <w:r>
        <w:rPr>
          <w:szCs w:val="22"/>
          <w:u w:val="single"/>
        </w:rPr>
        <w:t xml:space="preserve"> </w:t>
      </w:r>
      <w:r w:rsidRPr="00CC0EB1">
        <w:rPr>
          <w:szCs w:val="22"/>
          <w:u w:val="single"/>
        </w:rPr>
        <w:t>Turbines</w:t>
      </w:r>
      <w:r w:rsidRPr="00CC0EB1">
        <w:rPr>
          <w:szCs w:val="22"/>
        </w:rPr>
        <w:t xml:space="preserve">.  The maximum heat input rate to each gas turbine </w:t>
      </w:r>
      <w:r w:rsidRPr="008C0646">
        <w:rPr>
          <w:szCs w:val="22"/>
        </w:rPr>
        <w:t xml:space="preserve">is </w:t>
      </w:r>
      <w:r w:rsidR="00E2541F" w:rsidRPr="008C0646">
        <w:t>1,884</w:t>
      </w:r>
      <w:r w:rsidRPr="008C0646">
        <w:rPr>
          <w:szCs w:val="22"/>
        </w:rPr>
        <w:t xml:space="preserve"> MMBtu</w:t>
      </w:r>
      <w:r w:rsidRPr="00CC0EB1">
        <w:rPr>
          <w:szCs w:val="22"/>
        </w:rPr>
        <w:t xml:space="preserve">/hr when firing natural gas and 1,885 MMBtu per hour when firing distillate oil (based on a compressor inlet air temperature of 59°F, the LHV of each fuel, and 100% load).  Heat input rates will vary depending upon gas turbine characteristics, ambient conditions, alternate methods of operation, and evaporative cooling.  The permittee shall provide manufacturer’s performance curves (or equations) that correct for site conditions to the Permitting and Compliance Authorities </w:t>
      </w:r>
      <w:r w:rsidRPr="008C0646">
        <w:rPr>
          <w:szCs w:val="22"/>
        </w:rPr>
        <w:t xml:space="preserve">within </w:t>
      </w:r>
      <w:r w:rsidR="00E2541F" w:rsidRPr="008C0646">
        <w:rPr>
          <w:szCs w:val="22"/>
        </w:rPr>
        <w:t>7</w:t>
      </w:r>
      <w:r w:rsidRPr="008C0646">
        <w:rPr>
          <w:szCs w:val="22"/>
        </w:rPr>
        <w:t>5 days of completing testing, maintenance or tuning sessions.  Operating data may be adjusted for the appropriate site conditions in accordance with the performance curves and/or equations on file with the Department.  [Permit Nos. 0850001-010-AC</w:t>
      </w:r>
      <w:r w:rsidR="002E6D65" w:rsidRPr="008C0646">
        <w:rPr>
          <w:szCs w:val="22"/>
        </w:rPr>
        <w:t>/PSD-FL-327</w:t>
      </w:r>
      <w:r w:rsidRPr="008C0646">
        <w:rPr>
          <w:szCs w:val="22"/>
        </w:rPr>
        <w:t xml:space="preserve"> &amp; </w:t>
      </w:r>
      <w:r w:rsidR="00E2541F" w:rsidRPr="008C0646">
        <w:rPr>
          <w:szCs w:val="22"/>
        </w:rPr>
        <w:t>0850001-041-AC/PSD-FL-146J &amp; 327G</w:t>
      </w:r>
      <w:r w:rsidRPr="008C0646">
        <w:rPr>
          <w:szCs w:val="22"/>
        </w:rPr>
        <w:t>]</w:t>
      </w:r>
    </w:p>
    <w:p w14:paraId="756261A4" w14:textId="1E3EA967" w:rsidR="00CC0EB1" w:rsidRDefault="00CC0EB1" w:rsidP="00061DE9">
      <w:pPr>
        <w:pStyle w:val="ListParagraph"/>
        <w:numPr>
          <w:ilvl w:val="0"/>
          <w:numId w:val="22"/>
        </w:numPr>
        <w:spacing w:before="120" w:after="120"/>
        <w:ind w:left="360"/>
        <w:contextualSpacing w:val="0"/>
        <w:rPr>
          <w:szCs w:val="22"/>
        </w:rPr>
      </w:pPr>
      <w:r w:rsidRPr="00C16FF6">
        <w:rPr>
          <w:szCs w:val="22"/>
          <w:u w:val="single"/>
        </w:rPr>
        <w:t xml:space="preserve">Permitted Capacity </w:t>
      </w:r>
      <w:r>
        <w:rPr>
          <w:szCs w:val="22"/>
          <w:u w:val="single"/>
        </w:rPr>
        <w:t>–</w:t>
      </w:r>
      <w:r w:rsidRPr="00C16FF6">
        <w:rPr>
          <w:szCs w:val="22"/>
          <w:u w:val="single"/>
        </w:rPr>
        <w:t xml:space="preserve"> HRSG</w:t>
      </w:r>
      <w:r>
        <w:rPr>
          <w:szCs w:val="22"/>
          <w:u w:val="single"/>
        </w:rPr>
        <w:t xml:space="preserve"> </w:t>
      </w:r>
      <w:r w:rsidRPr="00C16FF6">
        <w:rPr>
          <w:szCs w:val="22"/>
          <w:u w:val="single"/>
        </w:rPr>
        <w:t>Duct Burners</w:t>
      </w:r>
      <w:r w:rsidRPr="00C16FF6">
        <w:rPr>
          <w:szCs w:val="22"/>
        </w:rPr>
        <w:t>.  The total maximum heat input rate to the duct burners for each HRSG is 495 MMBtu/hr based on LHV of natural gas.  Only natural gas shall be fired in the duct burners.  [Permit No. 0850001-010</w:t>
      </w:r>
      <w:r w:rsidRPr="008C0646">
        <w:rPr>
          <w:szCs w:val="22"/>
        </w:rPr>
        <w:t>-AC</w:t>
      </w:r>
      <w:r w:rsidR="002E6D65" w:rsidRPr="008C0646">
        <w:rPr>
          <w:szCs w:val="22"/>
        </w:rPr>
        <w:t>/P</w:t>
      </w:r>
      <w:r w:rsidR="002E6D65" w:rsidRPr="00CC0EB1">
        <w:rPr>
          <w:szCs w:val="22"/>
        </w:rPr>
        <w:t>SD-FL-327</w:t>
      </w:r>
      <w:r w:rsidRPr="00C16FF6">
        <w:rPr>
          <w:szCs w:val="22"/>
        </w:rPr>
        <w:t>]</w:t>
      </w:r>
    </w:p>
    <w:p w14:paraId="0FD670DC" w14:textId="0EFB99A4" w:rsidR="00CC0EB1" w:rsidRDefault="00CC0EB1" w:rsidP="00061DE9">
      <w:pPr>
        <w:pStyle w:val="ListParagraph"/>
        <w:numPr>
          <w:ilvl w:val="0"/>
          <w:numId w:val="22"/>
        </w:numPr>
        <w:spacing w:before="120" w:after="120"/>
        <w:ind w:left="360"/>
        <w:rPr>
          <w:szCs w:val="22"/>
        </w:rPr>
      </w:pPr>
      <w:bookmarkStart w:id="160" w:name="_Ref504133634"/>
      <w:r w:rsidRPr="00C16FF6">
        <w:rPr>
          <w:szCs w:val="22"/>
          <w:u w:val="single"/>
        </w:rPr>
        <w:t>Methods of Operation</w:t>
      </w:r>
      <w:r w:rsidRPr="00C16FF6">
        <w:rPr>
          <w:szCs w:val="22"/>
        </w:rPr>
        <w:t>.  Subject to the restrictions and requirements of this permit, the gas turbines may operate under the following methods of operation.</w:t>
      </w:r>
      <w:bookmarkEnd w:id="160"/>
    </w:p>
    <w:p w14:paraId="1771083D" w14:textId="77777777" w:rsidR="00CC0EB1" w:rsidRPr="00CC0EB1" w:rsidRDefault="00CC0EB1" w:rsidP="00061DE9">
      <w:pPr>
        <w:pStyle w:val="ListParagraph"/>
        <w:numPr>
          <w:ilvl w:val="0"/>
          <w:numId w:val="23"/>
        </w:numPr>
        <w:suppressAutoHyphens/>
        <w:rPr>
          <w:szCs w:val="22"/>
        </w:rPr>
      </w:pPr>
      <w:r w:rsidRPr="00CC0EB1">
        <w:rPr>
          <w:i/>
          <w:iCs/>
          <w:szCs w:val="22"/>
        </w:rPr>
        <w:t>Hours of Operation.</w:t>
      </w:r>
      <w:r w:rsidRPr="00CC0EB1">
        <w:rPr>
          <w:szCs w:val="22"/>
        </w:rPr>
        <w:t xml:space="preserve">  Subject to the operational restrictions of this permit, the gas turbines may operate throughout the year (8,760 hours per year).  Restrictions on individual methods of operation are specified below.</w:t>
      </w:r>
    </w:p>
    <w:p w14:paraId="6655DD4E" w14:textId="77777777" w:rsidR="00CC0EB1" w:rsidRPr="00C16FF6" w:rsidRDefault="00CC0EB1" w:rsidP="00061DE9">
      <w:pPr>
        <w:pStyle w:val="ListParagraph"/>
        <w:numPr>
          <w:ilvl w:val="0"/>
          <w:numId w:val="23"/>
        </w:numPr>
        <w:suppressAutoHyphens/>
        <w:rPr>
          <w:szCs w:val="22"/>
        </w:rPr>
      </w:pPr>
      <w:r w:rsidRPr="00C16FF6">
        <w:rPr>
          <w:i/>
          <w:szCs w:val="22"/>
        </w:rPr>
        <w:t>Authorized Fuels</w:t>
      </w:r>
      <w:r w:rsidRPr="00C16FF6">
        <w:rPr>
          <w:szCs w:val="22"/>
        </w:rPr>
        <w:t xml:space="preserve">.  Each gas turbine shall fire natural gas as the primary fuel, which shall contain no more than 2.0 grains of sulfur per 100 standard cubic feet of natural gas.  As a restricted alternate fuel, each gas turbine may </w:t>
      </w:r>
      <w:proofErr w:type="spellStart"/>
      <w:r w:rsidRPr="00C16FF6">
        <w:rPr>
          <w:szCs w:val="22"/>
        </w:rPr>
        <w:t>fire</w:t>
      </w:r>
      <w:proofErr w:type="spellEnd"/>
      <w:r w:rsidRPr="00C16FF6">
        <w:rPr>
          <w:szCs w:val="22"/>
        </w:rPr>
        <w:t xml:space="preserve"> No. 2 distillate oil (or a superior grade) containing no more than 0.05% sulfur by weight.  Each gas turbine shall fire no more than 500 hours of distillate oil during any consecutive 12 months.</w:t>
      </w:r>
    </w:p>
    <w:p w14:paraId="0717EEAD" w14:textId="77777777" w:rsidR="00CC0EB1" w:rsidRPr="00C16FF6" w:rsidRDefault="00CC0EB1" w:rsidP="00061DE9">
      <w:pPr>
        <w:pStyle w:val="ListParagraph"/>
        <w:numPr>
          <w:ilvl w:val="0"/>
          <w:numId w:val="23"/>
        </w:numPr>
        <w:suppressAutoHyphens/>
        <w:rPr>
          <w:szCs w:val="22"/>
        </w:rPr>
      </w:pPr>
      <w:r w:rsidRPr="00C16FF6">
        <w:rPr>
          <w:i/>
          <w:szCs w:val="22"/>
        </w:rPr>
        <w:t>Combined Cycle Operation</w:t>
      </w:r>
      <w:r w:rsidRPr="00C16FF6">
        <w:rPr>
          <w:szCs w:val="22"/>
        </w:rPr>
        <w:t>.  Each gas turbine/HRSG system may operate to produce direct, shaft-driven electrical power and steam-generated electrical power from the steam turbine-electrical generator as a four-on-one combined cycle unit subject to the restrictions of this permit.  In accordance with the specifications of the SCR and HRSG manufacturers, the SCR system shall be on line and functioning properly during combined cycle operation or when the HRSG is producing steam.</w:t>
      </w:r>
    </w:p>
    <w:p w14:paraId="3C2C278F" w14:textId="77777777" w:rsidR="00CC0EB1" w:rsidRPr="00C16FF6" w:rsidRDefault="00CC0EB1" w:rsidP="00061DE9">
      <w:pPr>
        <w:pStyle w:val="ListParagraph"/>
        <w:numPr>
          <w:ilvl w:val="0"/>
          <w:numId w:val="23"/>
        </w:numPr>
        <w:suppressAutoHyphens/>
        <w:rPr>
          <w:szCs w:val="22"/>
        </w:rPr>
      </w:pPr>
      <w:bookmarkStart w:id="161" w:name="_Hlk508872269"/>
      <w:bookmarkStart w:id="162" w:name="_Hlk508872263"/>
      <w:r w:rsidRPr="00C16FF6">
        <w:rPr>
          <w:i/>
          <w:szCs w:val="22"/>
        </w:rPr>
        <w:t>Inlet Fogging</w:t>
      </w:r>
      <w:r w:rsidRPr="00C16FF6">
        <w:rPr>
          <w:szCs w:val="22"/>
        </w:rPr>
        <w:t>.  In accordance with the manufacturer’s recommendations and appropriate ambient conditions, the evaporative cooling system may be operated to reduce the compressor inlet air temperature and provide additional direct, shaft-driven electrical power.  This method of operation is commonly referred to as “fogging” and may be used in or combined cycle mode.</w:t>
      </w:r>
      <w:bookmarkEnd w:id="161"/>
    </w:p>
    <w:p w14:paraId="04F66215" w14:textId="77777777" w:rsidR="00CC0EB1" w:rsidRPr="00C16FF6" w:rsidRDefault="00CC0EB1" w:rsidP="00061DE9">
      <w:pPr>
        <w:pStyle w:val="ListParagraph"/>
        <w:numPr>
          <w:ilvl w:val="0"/>
          <w:numId w:val="23"/>
        </w:numPr>
        <w:suppressAutoHyphens/>
        <w:rPr>
          <w:i/>
          <w:szCs w:val="22"/>
        </w:rPr>
      </w:pPr>
      <w:bookmarkStart w:id="163" w:name="_Hlk508872412"/>
      <w:bookmarkEnd w:id="162"/>
      <w:r w:rsidRPr="00C16FF6">
        <w:rPr>
          <w:i/>
          <w:szCs w:val="22"/>
        </w:rPr>
        <w:t>Peaking</w:t>
      </w:r>
      <w:r w:rsidRPr="00C16FF6">
        <w:rPr>
          <w:szCs w:val="22"/>
        </w:rPr>
        <w:t xml:space="preserve">.  When firing natural gas, each gas turbine may operate in a high-temperature peaking mode to generate additional direct, shaft-driven electrical power to respond to peak demands.  During any consecutive 12 months, each gas turbine shall operate while in the peaking mode </w:t>
      </w:r>
      <w:r w:rsidRPr="00505C46">
        <w:rPr>
          <w:szCs w:val="22"/>
        </w:rPr>
        <w:t xml:space="preserve">for </w:t>
      </w:r>
      <w:r w:rsidRPr="00C16FF6">
        <w:rPr>
          <w:i/>
          <w:szCs w:val="22"/>
        </w:rPr>
        <w:t>no more than 400 hours of combined cycle operation.</w:t>
      </w:r>
      <w:bookmarkEnd w:id="163"/>
    </w:p>
    <w:p w14:paraId="7B1D7DE4" w14:textId="77777777" w:rsidR="00CC0EB1" w:rsidRPr="00C16FF6" w:rsidRDefault="00CC0EB1" w:rsidP="00061DE9">
      <w:pPr>
        <w:pStyle w:val="ListParagraph"/>
        <w:numPr>
          <w:ilvl w:val="0"/>
          <w:numId w:val="23"/>
        </w:numPr>
        <w:suppressAutoHyphens/>
        <w:rPr>
          <w:szCs w:val="22"/>
        </w:rPr>
      </w:pPr>
      <w:bookmarkStart w:id="164" w:name="_Hlk508872606"/>
      <w:r w:rsidRPr="00C16FF6">
        <w:rPr>
          <w:i/>
          <w:szCs w:val="22"/>
        </w:rPr>
        <w:t>Power</w:t>
      </w:r>
      <w:r w:rsidRPr="00C16FF6">
        <w:rPr>
          <w:szCs w:val="22"/>
        </w:rPr>
        <w:t xml:space="preserve"> </w:t>
      </w:r>
      <w:r w:rsidRPr="00C16FF6">
        <w:rPr>
          <w:i/>
          <w:szCs w:val="22"/>
        </w:rPr>
        <w:t>Augmentation</w:t>
      </w:r>
      <w:r w:rsidRPr="00C16FF6">
        <w:rPr>
          <w:szCs w:val="22"/>
        </w:rPr>
        <w:t>.  When firing natural gas in combined cycle mode, steam may be injected into each gas turbine to generate additional direct, shaft-driven electrical power to respond to peak demands.  To qualify as “power augmentation”, the CT must operate at a load of 95% or greater than that of the manufacturer’s maximum base load rate adjusted for the compressor inlet air conditions.  Prior to activating and after deactivating the power augmentation mode, the operator shall log the date, time, and new mode of operation.  The gas turbines shall not operate simultaneously in peaking and power augmentation modes.  Total combined operation of power augmentation and peaking modes shall not exceed 400 hours per unit during any consecutive 12 months.</w:t>
      </w:r>
      <w:bookmarkEnd w:id="164"/>
    </w:p>
    <w:p w14:paraId="357391DC" w14:textId="77777777" w:rsidR="00CC0EB1" w:rsidRPr="00C16FF6" w:rsidRDefault="00CC0EB1" w:rsidP="00061DE9">
      <w:pPr>
        <w:pStyle w:val="ListParagraph"/>
        <w:numPr>
          <w:ilvl w:val="0"/>
          <w:numId w:val="23"/>
        </w:numPr>
        <w:suppressAutoHyphens/>
        <w:rPr>
          <w:szCs w:val="22"/>
        </w:rPr>
      </w:pPr>
      <w:r w:rsidRPr="00C16FF6">
        <w:rPr>
          <w:i/>
          <w:szCs w:val="22"/>
        </w:rPr>
        <w:t>Combined Cycle Operation with HRSG Duct Firing</w:t>
      </w:r>
      <w:r w:rsidRPr="00C16FF6">
        <w:rPr>
          <w:szCs w:val="22"/>
        </w:rPr>
        <w:t>.  When firing natural gas and operating in combined cycle mode, each HRSG system may fire natural gas in the duct burners to provide additional steam-generated electrical power.  The total combined heat input rate to the duct burners (all four HRSG units) shall not exceed 5,702,400 MMBtu (LHV) during any consecutive 12 months.</w:t>
      </w:r>
    </w:p>
    <w:p w14:paraId="6541EE09" w14:textId="3A00D2A6" w:rsidR="0026025F" w:rsidRDefault="00CC0EB1" w:rsidP="00CC0EB1">
      <w:pPr>
        <w:spacing w:after="120"/>
        <w:ind w:left="360"/>
        <w:rPr>
          <w:szCs w:val="22"/>
        </w:rPr>
      </w:pPr>
      <w:r w:rsidRPr="00CC0EB1">
        <w:rPr>
          <w:szCs w:val="22"/>
        </w:rPr>
        <w:t>[Permit No. 0850001-010-AC</w:t>
      </w:r>
      <w:r w:rsidR="00FB137B" w:rsidRPr="008C0646">
        <w:rPr>
          <w:szCs w:val="22"/>
        </w:rPr>
        <w:t>/</w:t>
      </w:r>
      <w:r w:rsidRPr="008C0646">
        <w:rPr>
          <w:szCs w:val="22"/>
        </w:rPr>
        <w:t>PSD</w:t>
      </w:r>
      <w:r w:rsidRPr="00CC0EB1">
        <w:rPr>
          <w:szCs w:val="22"/>
        </w:rPr>
        <w:t>-FL-327]</w:t>
      </w:r>
    </w:p>
    <w:p w14:paraId="79BA757E" w14:textId="40E6738F" w:rsidR="00BB0CDF" w:rsidRPr="008C0646" w:rsidRDefault="0026025F" w:rsidP="0026025F">
      <w:pPr>
        <w:spacing w:after="120"/>
        <w:rPr>
          <w:b/>
          <w:szCs w:val="22"/>
          <w:u w:val="single"/>
        </w:rPr>
      </w:pPr>
      <w:r w:rsidRPr="008C0646">
        <w:rPr>
          <w:b/>
          <w:szCs w:val="22"/>
          <w:u w:val="single"/>
        </w:rPr>
        <w:t>Equipment and Control Technology</w:t>
      </w:r>
    </w:p>
    <w:p w14:paraId="63EBF9BB" w14:textId="64DB3392" w:rsidR="0026025F" w:rsidRDefault="0026025F" w:rsidP="00061DE9">
      <w:pPr>
        <w:pStyle w:val="ListParagraph"/>
        <w:numPr>
          <w:ilvl w:val="0"/>
          <w:numId w:val="22"/>
        </w:numPr>
        <w:spacing w:before="120" w:after="120"/>
        <w:ind w:left="360"/>
        <w:contextualSpacing w:val="0"/>
        <w:rPr>
          <w:szCs w:val="22"/>
        </w:rPr>
      </w:pPr>
      <w:bookmarkStart w:id="165" w:name="_Hlk508874293"/>
      <w:r w:rsidRPr="00C16FF6">
        <w:rPr>
          <w:szCs w:val="22"/>
          <w:u w:val="single"/>
        </w:rPr>
        <w:t>Gas Turbines</w:t>
      </w:r>
      <w:r w:rsidRPr="00C16FF6">
        <w:rPr>
          <w:szCs w:val="22"/>
        </w:rPr>
        <w:t xml:space="preserve">.  The permittee is authorized to tune, operate and maintain the four General Electric model PG7241FA CT.  Each CT shall include a modern automated gas turbine control system and have dual-fuel capability.  Ancillary equipment includes an inlet air filtration </w:t>
      </w:r>
      <w:r w:rsidRPr="006E3EA3">
        <w:rPr>
          <w:szCs w:val="22"/>
        </w:rPr>
        <w:t>system and an evaporative inlet air-cooling system.  The gas turbines utilize DLN combustors.  Electric fuel heaters preheat the</w:t>
      </w:r>
      <w:r w:rsidRPr="00C16FF6">
        <w:rPr>
          <w:szCs w:val="22"/>
        </w:rPr>
        <w:t xml:space="preserve"> natural gas during startup to combined cycle operation.  For full combined cycle operation, feedwater heat exchangers preheat the natural gas.  [Permit No. 0850001-010-AC</w:t>
      </w:r>
      <w:r w:rsidR="002E6D65" w:rsidRPr="008C0646">
        <w:rPr>
          <w:szCs w:val="22"/>
        </w:rPr>
        <w:t>/PS</w:t>
      </w:r>
      <w:r w:rsidR="002E6D65" w:rsidRPr="00CC0EB1">
        <w:rPr>
          <w:szCs w:val="22"/>
        </w:rPr>
        <w:t>D-FL-327</w:t>
      </w:r>
      <w:r w:rsidRPr="00C16FF6">
        <w:rPr>
          <w:szCs w:val="22"/>
        </w:rPr>
        <w:t>]</w:t>
      </w:r>
      <w:bookmarkEnd w:id="165"/>
    </w:p>
    <w:p w14:paraId="32BF8F21" w14:textId="393A2586" w:rsidR="0026025F" w:rsidRDefault="0026025F" w:rsidP="00061DE9">
      <w:pPr>
        <w:pStyle w:val="ListParagraph"/>
        <w:numPr>
          <w:ilvl w:val="0"/>
          <w:numId w:val="22"/>
        </w:numPr>
        <w:spacing w:before="120" w:after="120"/>
        <w:ind w:left="360"/>
        <w:rPr>
          <w:szCs w:val="22"/>
        </w:rPr>
      </w:pPr>
      <w:bookmarkStart w:id="166" w:name="_Hlk520462700"/>
      <w:r w:rsidRPr="00C16FF6">
        <w:rPr>
          <w:szCs w:val="22"/>
          <w:u w:val="single"/>
        </w:rPr>
        <w:t>Gas Turbine NO</w:t>
      </w:r>
      <w:r w:rsidRPr="00C16FF6">
        <w:rPr>
          <w:szCs w:val="22"/>
          <w:u w:val="single"/>
          <w:vertAlign w:val="subscript"/>
        </w:rPr>
        <w:t>X</w:t>
      </w:r>
      <w:r w:rsidRPr="00C16FF6">
        <w:rPr>
          <w:szCs w:val="22"/>
          <w:u w:val="single"/>
        </w:rPr>
        <w:t xml:space="preserve"> Controls</w:t>
      </w:r>
      <w:r w:rsidRPr="00C16FF6">
        <w:rPr>
          <w:szCs w:val="22"/>
        </w:rPr>
        <w:t>.</w:t>
      </w:r>
    </w:p>
    <w:p w14:paraId="0B563C26" w14:textId="77777777" w:rsidR="0026025F" w:rsidRPr="008C0646" w:rsidRDefault="0026025F" w:rsidP="00061DE9">
      <w:pPr>
        <w:pStyle w:val="ListParagraph"/>
        <w:numPr>
          <w:ilvl w:val="0"/>
          <w:numId w:val="24"/>
        </w:numPr>
        <w:rPr>
          <w:szCs w:val="22"/>
        </w:rPr>
      </w:pPr>
      <w:bookmarkStart w:id="167" w:name="_Hlk508874657"/>
      <w:r w:rsidRPr="00591B46">
        <w:rPr>
          <w:i/>
          <w:iCs/>
          <w:szCs w:val="22"/>
        </w:rPr>
        <w:t>DLN Combustion.</w:t>
      </w:r>
      <w:r w:rsidRPr="00591B46">
        <w:rPr>
          <w:szCs w:val="22"/>
        </w:rPr>
        <w:t xml:space="preserve">  The permittee shall operate and maintain the General Electric DLN 2.6 combustion system (or better) to control NO</w:t>
      </w:r>
      <w:r w:rsidRPr="00591B46">
        <w:rPr>
          <w:szCs w:val="22"/>
          <w:vertAlign w:val="subscript"/>
        </w:rPr>
        <w:t>X</w:t>
      </w:r>
      <w:r w:rsidRPr="00591B46">
        <w:rPr>
          <w:szCs w:val="22"/>
        </w:rPr>
        <w:t xml:space="preserve"> emissions from each gas turbine when firing natural gas.  Each system shall be maintained and tune</w:t>
      </w:r>
      <w:r w:rsidRPr="008C0646">
        <w:rPr>
          <w:szCs w:val="22"/>
        </w:rPr>
        <w:t xml:space="preserve">d in accordance with the manufacturer’s recommendations.  </w:t>
      </w:r>
    </w:p>
    <w:p w14:paraId="064E279E" w14:textId="523097E5" w:rsidR="0026025F" w:rsidRPr="008C0646" w:rsidRDefault="0026025F" w:rsidP="00061DE9">
      <w:pPr>
        <w:pStyle w:val="ListParagraph"/>
        <w:numPr>
          <w:ilvl w:val="0"/>
          <w:numId w:val="24"/>
        </w:numPr>
        <w:rPr>
          <w:szCs w:val="22"/>
        </w:rPr>
      </w:pPr>
      <w:bookmarkStart w:id="168" w:name="_Hlk508874832"/>
      <w:bookmarkEnd w:id="167"/>
      <w:r w:rsidRPr="008C0646">
        <w:rPr>
          <w:i/>
          <w:szCs w:val="22"/>
        </w:rPr>
        <w:t>Water Injection</w:t>
      </w:r>
      <w:r w:rsidRPr="008C0646">
        <w:rPr>
          <w:szCs w:val="22"/>
        </w:rPr>
        <w:t>.  The permittee shall install, operate, and maintain a water injection system to reduce NO</w:t>
      </w:r>
      <w:r w:rsidRPr="008C0646">
        <w:rPr>
          <w:szCs w:val="22"/>
          <w:vertAlign w:val="subscript"/>
        </w:rPr>
        <w:t>X</w:t>
      </w:r>
      <w:r w:rsidRPr="008C0646">
        <w:rPr>
          <w:szCs w:val="22"/>
        </w:rPr>
        <w:t xml:space="preserve"> emissions from each gas turbine when firing distillate oil.  Thereafter, each system shall be maintained and tuned in accordance with the manufacturer’s recommendations.  </w:t>
      </w:r>
      <w:bookmarkEnd w:id="168"/>
    </w:p>
    <w:p w14:paraId="7F529982" w14:textId="101578C6" w:rsidR="0026025F" w:rsidRPr="008C0646" w:rsidRDefault="0026025F" w:rsidP="00061DE9">
      <w:pPr>
        <w:pStyle w:val="ListParagraph"/>
        <w:numPr>
          <w:ilvl w:val="0"/>
          <w:numId w:val="24"/>
        </w:numPr>
        <w:rPr>
          <w:szCs w:val="22"/>
        </w:rPr>
      </w:pPr>
      <w:r w:rsidRPr="008C0646">
        <w:rPr>
          <w:i/>
          <w:szCs w:val="22"/>
        </w:rPr>
        <w:t>SCR System</w:t>
      </w:r>
      <w:r w:rsidRPr="008C0646">
        <w:rPr>
          <w:szCs w:val="22"/>
        </w:rPr>
        <w:t>.  The permittee shall tune, operate, and maintain a</w:t>
      </w:r>
      <w:r w:rsidR="002E6D65" w:rsidRPr="008C0646">
        <w:rPr>
          <w:szCs w:val="22"/>
        </w:rPr>
        <w:t>n</w:t>
      </w:r>
      <w:r w:rsidRPr="008C0646">
        <w:rPr>
          <w:szCs w:val="22"/>
        </w:rPr>
        <w:t xml:space="preserve"> SCR system to control NO</w:t>
      </w:r>
      <w:r w:rsidRPr="008C0646">
        <w:rPr>
          <w:szCs w:val="22"/>
          <w:vertAlign w:val="subscript"/>
        </w:rPr>
        <w:t>X</w:t>
      </w:r>
      <w:r w:rsidRPr="008C0646">
        <w:rPr>
          <w:szCs w:val="22"/>
        </w:rPr>
        <w:t xml:space="preserve"> emissions from each gas turbine during combined cycle operation when firing either natural gas or distillate oil.  The SCR system consists of an ammonia injection grid, catalyst, ammonia storage, monitoring and control system, electrical, piping and other ancillary equipment.  The SCR system shall be designed and operated to achieve the permitted levels for NO</w:t>
      </w:r>
      <w:r w:rsidRPr="008C0646">
        <w:rPr>
          <w:szCs w:val="22"/>
          <w:vertAlign w:val="subscript"/>
        </w:rPr>
        <w:t>X</w:t>
      </w:r>
      <w:r w:rsidRPr="008C0646">
        <w:rPr>
          <w:szCs w:val="22"/>
        </w:rPr>
        <w:t xml:space="preserve"> emissions and ammonia slip.  </w:t>
      </w:r>
      <w:r w:rsidRPr="008C0646">
        <w:rPr>
          <w:iCs/>
          <w:szCs w:val="22"/>
        </w:rPr>
        <w:t>{</w:t>
      </w:r>
      <w:r w:rsidRPr="008C0646">
        <w:rPr>
          <w:i/>
          <w:iCs/>
          <w:szCs w:val="22"/>
        </w:rPr>
        <w:t>Note:  In accordance with 40 CFR 6</w:t>
      </w:r>
      <w:r w:rsidR="00591B46" w:rsidRPr="008C0646">
        <w:rPr>
          <w:i/>
          <w:iCs/>
          <w:szCs w:val="22"/>
        </w:rPr>
        <w:t>8</w:t>
      </w:r>
      <w:r w:rsidRPr="008C0646">
        <w:rPr>
          <w:i/>
          <w:iCs/>
          <w:szCs w:val="22"/>
        </w:rPr>
        <w:t>.130, the storage of ammonia shall comply with all applicable requirements of the Chemical Accident Prevention Provisions in 40 CFR 68</w:t>
      </w:r>
      <w:r w:rsidR="00591B46" w:rsidRPr="008C0646">
        <w:rPr>
          <w:i/>
          <w:iCs/>
          <w:szCs w:val="22"/>
        </w:rPr>
        <w:t xml:space="preserve"> (see Facility-Wide Condition </w:t>
      </w:r>
      <w:r w:rsidR="00591B46" w:rsidRPr="008C0646">
        <w:rPr>
          <w:b/>
          <w:i/>
          <w:iCs/>
          <w:szCs w:val="22"/>
        </w:rPr>
        <w:fldChar w:fldCharType="begin"/>
      </w:r>
      <w:r w:rsidR="00591B46" w:rsidRPr="008C0646">
        <w:rPr>
          <w:b/>
          <w:i/>
          <w:iCs/>
          <w:szCs w:val="22"/>
        </w:rPr>
        <w:instrText xml:space="preserve"> REF _Ref512844419 \r \h  \* MERGEFORMAT </w:instrText>
      </w:r>
      <w:r w:rsidR="00591B46" w:rsidRPr="008C0646">
        <w:rPr>
          <w:b/>
          <w:i/>
          <w:iCs/>
          <w:szCs w:val="22"/>
        </w:rPr>
      </w:r>
      <w:r w:rsidR="00591B46" w:rsidRPr="008C0646">
        <w:rPr>
          <w:b/>
          <w:i/>
          <w:iCs/>
          <w:szCs w:val="22"/>
        </w:rPr>
        <w:fldChar w:fldCharType="separate"/>
      </w:r>
      <w:r w:rsidR="00D31800">
        <w:rPr>
          <w:b/>
          <w:i/>
          <w:iCs/>
          <w:szCs w:val="22"/>
        </w:rPr>
        <w:t>FW8</w:t>
      </w:r>
      <w:r w:rsidR="00591B46" w:rsidRPr="008C0646">
        <w:rPr>
          <w:b/>
          <w:i/>
          <w:iCs/>
          <w:szCs w:val="22"/>
        </w:rPr>
        <w:fldChar w:fldCharType="end"/>
      </w:r>
      <w:r w:rsidR="00591B46" w:rsidRPr="008C0646">
        <w:rPr>
          <w:i/>
          <w:iCs/>
          <w:szCs w:val="22"/>
        </w:rPr>
        <w:t>)</w:t>
      </w:r>
      <w:r w:rsidRPr="008C0646">
        <w:rPr>
          <w:i/>
          <w:iCs/>
          <w:szCs w:val="22"/>
        </w:rPr>
        <w:t>.}</w:t>
      </w:r>
    </w:p>
    <w:p w14:paraId="06BE5C13" w14:textId="478A81E5" w:rsidR="0026025F" w:rsidRPr="008C0646" w:rsidRDefault="0026025F" w:rsidP="00FB137B">
      <w:pPr>
        <w:spacing w:after="120"/>
        <w:ind w:left="360"/>
        <w:rPr>
          <w:szCs w:val="22"/>
        </w:rPr>
      </w:pPr>
      <w:r w:rsidRPr="008C0646">
        <w:rPr>
          <w:szCs w:val="22"/>
        </w:rPr>
        <w:t>[Permit No. 0850001-010-AC</w:t>
      </w:r>
      <w:r w:rsidR="002E6D65" w:rsidRPr="008C0646">
        <w:rPr>
          <w:szCs w:val="22"/>
        </w:rPr>
        <w:t>/PSD-FL-327</w:t>
      </w:r>
      <w:r w:rsidRPr="008C0646">
        <w:rPr>
          <w:szCs w:val="22"/>
        </w:rPr>
        <w:t>]</w:t>
      </w:r>
      <w:bookmarkEnd w:id="166"/>
    </w:p>
    <w:p w14:paraId="670FB6FF" w14:textId="27A612AC" w:rsidR="00FB137B" w:rsidRDefault="00FB137B" w:rsidP="00061DE9">
      <w:pPr>
        <w:pStyle w:val="ListParagraph"/>
        <w:numPr>
          <w:ilvl w:val="0"/>
          <w:numId w:val="22"/>
        </w:numPr>
        <w:spacing w:before="120" w:after="120"/>
        <w:ind w:left="360"/>
        <w:rPr>
          <w:szCs w:val="22"/>
        </w:rPr>
      </w:pPr>
      <w:r w:rsidRPr="00C16FF6">
        <w:rPr>
          <w:szCs w:val="22"/>
          <w:u w:val="single"/>
        </w:rPr>
        <w:t>Heat Recovery Steam Generators (HRSG)</w:t>
      </w:r>
      <w:r w:rsidRPr="00C16FF6">
        <w:rPr>
          <w:szCs w:val="22"/>
        </w:rPr>
        <w:t>.  The permittee is authorized to operate and maintain four HRSG with separate HRSG exhaust stacks.  Each HRSG shall be designed to recover heat energy from one of the four gas turbines (8A-8D) and deliver steam to the steam turbine electrical generator through a common manifold.  Each HRSG may be equipped with supplemental gas-fired duct burners having a maximum heat input rate of 495 MMBtu/hr (LHV).  The duct burners shall be designed in accordance with the following specifications:  0.04 lb CO/MMBtu and 0.08 lb NO</w:t>
      </w:r>
      <w:r w:rsidRPr="00C16FF6">
        <w:rPr>
          <w:szCs w:val="22"/>
          <w:vertAlign w:val="subscript"/>
        </w:rPr>
        <w:t>X</w:t>
      </w:r>
      <w:r w:rsidRPr="00C16FF6">
        <w:rPr>
          <w:szCs w:val="22"/>
        </w:rPr>
        <w:t xml:space="preserve">/MMBtu.  </w:t>
      </w:r>
      <w:r w:rsidRPr="00C16FF6">
        <w:rPr>
          <w:i/>
          <w:iCs/>
          <w:szCs w:val="22"/>
        </w:rPr>
        <w:t>{Note:  The four HRSG units deliver steam to a single steam turbine-electrical generator with a generating capacity of 470 MW.}</w:t>
      </w:r>
      <w:r w:rsidRPr="00C16FF6">
        <w:rPr>
          <w:szCs w:val="22"/>
        </w:rPr>
        <w:t xml:space="preserve">  [Permit No. 0850001-010-AC</w:t>
      </w:r>
      <w:r>
        <w:rPr>
          <w:szCs w:val="22"/>
        </w:rPr>
        <w:t>/</w:t>
      </w:r>
      <w:r w:rsidRPr="00C16FF6">
        <w:rPr>
          <w:szCs w:val="22"/>
        </w:rPr>
        <w:t>PSD-FL-327]</w:t>
      </w:r>
    </w:p>
    <w:p w14:paraId="63A5431D" w14:textId="36B851C7" w:rsidR="00FB137B" w:rsidRDefault="00FB137B" w:rsidP="00FB137B">
      <w:pPr>
        <w:spacing w:after="120"/>
        <w:rPr>
          <w:b/>
          <w:szCs w:val="22"/>
          <w:u w:val="single"/>
        </w:rPr>
      </w:pPr>
      <w:r w:rsidRPr="00C16FF6">
        <w:rPr>
          <w:b/>
          <w:szCs w:val="22"/>
          <w:u w:val="single"/>
        </w:rPr>
        <w:t>Emissions Limitations and Standards</w:t>
      </w:r>
    </w:p>
    <w:p w14:paraId="58260A25" w14:textId="4FF1A964" w:rsidR="00FB137B" w:rsidRPr="00FB137B" w:rsidRDefault="00FB137B" w:rsidP="00FB137B">
      <w:pPr>
        <w:spacing w:after="120"/>
        <w:rPr>
          <w:szCs w:val="22"/>
        </w:rPr>
      </w:pPr>
      <w:r w:rsidRPr="00C16FF6">
        <w:rPr>
          <w:szCs w:val="22"/>
        </w:rPr>
        <w:t xml:space="preserve">Unless otherwise specified, the averaging times for the limitations contained in Specific </w:t>
      </w:r>
      <w:r w:rsidRPr="008C0646">
        <w:rPr>
          <w:szCs w:val="22"/>
        </w:rPr>
        <w:t>Condition</w:t>
      </w:r>
      <w:r w:rsidR="000D4253" w:rsidRPr="008C0646">
        <w:rPr>
          <w:szCs w:val="22"/>
        </w:rPr>
        <w:t>s</w:t>
      </w:r>
      <w:r w:rsidR="0086192F" w:rsidRPr="008C0646">
        <w:rPr>
          <w:szCs w:val="22"/>
        </w:rPr>
        <w:t xml:space="preserve"> </w:t>
      </w:r>
      <w:r w:rsidRPr="008C0646">
        <w:rPr>
          <w:b/>
          <w:szCs w:val="22"/>
        </w:rPr>
        <w:fldChar w:fldCharType="begin"/>
      </w:r>
      <w:r w:rsidRPr="008C0646">
        <w:rPr>
          <w:b/>
          <w:szCs w:val="22"/>
        </w:rPr>
        <w:instrText xml:space="preserve"> REF _Ref512850316 \r \h  \* MERGEFORMAT </w:instrText>
      </w:r>
      <w:r w:rsidRPr="008C0646">
        <w:rPr>
          <w:b/>
          <w:szCs w:val="22"/>
        </w:rPr>
      </w:r>
      <w:r w:rsidRPr="008C0646">
        <w:rPr>
          <w:b/>
          <w:szCs w:val="22"/>
        </w:rPr>
        <w:fldChar w:fldCharType="separate"/>
      </w:r>
      <w:r w:rsidR="00D31800">
        <w:rPr>
          <w:b/>
          <w:szCs w:val="22"/>
        </w:rPr>
        <w:t>D.7</w:t>
      </w:r>
      <w:r w:rsidRPr="008C0646">
        <w:rPr>
          <w:b/>
          <w:szCs w:val="22"/>
        </w:rPr>
        <w:fldChar w:fldCharType="end"/>
      </w:r>
      <w:r w:rsidR="000D4253" w:rsidRPr="008C0646">
        <w:rPr>
          <w:szCs w:val="22"/>
        </w:rPr>
        <w:t xml:space="preserve"> </w:t>
      </w:r>
      <w:r w:rsidRPr="008C0646">
        <w:rPr>
          <w:szCs w:val="22"/>
        </w:rPr>
        <w:t>a</w:t>
      </w:r>
      <w:r w:rsidRPr="006E3EA3">
        <w:rPr>
          <w:szCs w:val="22"/>
        </w:rPr>
        <w:t>re</w:t>
      </w:r>
      <w:r w:rsidRPr="00C16FF6">
        <w:rPr>
          <w:szCs w:val="22"/>
        </w:rPr>
        <w:t xml:space="preserve"> based on the specified averaging time of the applicable test method.</w:t>
      </w:r>
    </w:p>
    <w:p w14:paraId="1D1B6E17" w14:textId="144C2887" w:rsidR="002E6D65" w:rsidRDefault="002E6D65" w:rsidP="00EA6C2F">
      <w:pPr>
        <w:pStyle w:val="ListParagraph"/>
        <w:numPr>
          <w:ilvl w:val="0"/>
          <w:numId w:val="22"/>
        </w:numPr>
        <w:spacing w:before="120" w:after="120"/>
        <w:ind w:left="360"/>
        <w:rPr>
          <w:szCs w:val="22"/>
        </w:rPr>
      </w:pPr>
      <w:bookmarkStart w:id="169" w:name="_Ref503860575"/>
      <w:bookmarkStart w:id="170" w:name="_Hlk504134418"/>
      <w:bookmarkStart w:id="171" w:name="_Hlk520463048"/>
      <w:bookmarkStart w:id="172" w:name="_Ref512850316"/>
      <w:r w:rsidRPr="005901C8">
        <w:rPr>
          <w:szCs w:val="22"/>
          <w:u w:val="single"/>
        </w:rPr>
        <w:t>Emissions Standards</w:t>
      </w:r>
      <w:r w:rsidRPr="005901C8">
        <w:rPr>
          <w:szCs w:val="22"/>
        </w:rPr>
        <w:t>.  Emissions from each gas turbine shall not exceed the following standards.</w:t>
      </w:r>
      <w:bookmarkEnd w:id="169"/>
    </w:p>
    <w:tbl>
      <w:tblPr>
        <w:tblW w:w="9450" w:type="dxa"/>
        <w:tblInd w:w="345" w:type="dxa"/>
        <w:tblBorders>
          <w:top w:val="single" w:sz="12" w:space="0" w:color="auto"/>
          <w:left w:val="single" w:sz="12" w:space="0" w:color="auto"/>
          <w:bottom w:val="single" w:sz="12" w:space="0" w:color="auto"/>
          <w:right w:val="single" w:sz="12" w:space="0" w:color="auto"/>
          <w:insideH w:val="single" w:sz="8" w:space="0" w:color="auto"/>
          <w:insideV w:val="single" w:sz="12" w:space="0" w:color="auto"/>
        </w:tblBorders>
        <w:tblLayout w:type="fixed"/>
        <w:tblLook w:val="0000" w:firstRow="0" w:lastRow="0" w:firstColumn="0" w:lastColumn="0" w:noHBand="0" w:noVBand="0"/>
      </w:tblPr>
      <w:tblGrid>
        <w:gridCol w:w="1260"/>
        <w:gridCol w:w="915"/>
        <w:gridCol w:w="3150"/>
        <w:gridCol w:w="1440"/>
        <w:gridCol w:w="1080"/>
        <w:gridCol w:w="90"/>
        <w:gridCol w:w="1515"/>
      </w:tblGrid>
      <w:tr w:rsidR="00F26817" w:rsidRPr="00F26817" w14:paraId="7FC9B6DE" w14:textId="77777777" w:rsidTr="00E80E7E">
        <w:trPr>
          <w:cantSplit/>
          <w:trHeight w:val="278"/>
        </w:trPr>
        <w:tc>
          <w:tcPr>
            <w:tcW w:w="1260" w:type="dxa"/>
            <w:vMerge w:val="restart"/>
            <w:tcBorders>
              <w:top w:val="single" w:sz="12" w:space="0" w:color="auto"/>
              <w:bottom w:val="single" w:sz="8" w:space="0" w:color="auto"/>
            </w:tcBorders>
            <w:shd w:val="clear" w:color="auto" w:fill="auto"/>
            <w:vAlign w:val="center"/>
          </w:tcPr>
          <w:p w14:paraId="08263BC2" w14:textId="77777777" w:rsidR="00F26817" w:rsidRPr="00F26817" w:rsidRDefault="00F26817" w:rsidP="00F26817">
            <w:pPr>
              <w:suppressAutoHyphens/>
              <w:spacing w:before="40" w:after="40"/>
              <w:jc w:val="center"/>
              <w:rPr>
                <w:b/>
                <w:szCs w:val="22"/>
              </w:rPr>
            </w:pPr>
            <w:bookmarkStart w:id="173" w:name="_Hlk504134514"/>
            <w:bookmarkStart w:id="174" w:name="_Hlk504134464"/>
            <w:bookmarkStart w:id="175" w:name="_Hlk523312535"/>
            <w:bookmarkEnd w:id="170"/>
            <w:r w:rsidRPr="00F26817">
              <w:rPr>
                <w:b/>
                <w:szCs w:val="22"/>
              </w:rPr>
              <w:t>Pollutant</w:t>
            </w:r>
          </w:p>
        </w:tc>
        <w:tc>
          <w:tcPr>
            <w:tcW w:w="915" w:type="dxa"/>
            <w:vMerge w:val="restart"/>
            <w:tcBorders>
              <w:top w:val="single" w:sz="12" w:space="0" w:color="auto"/>
              <w:bottom w:val="single" w:sz="8" w:space="0" w:color="auto"/>
            </w:tcBorders>
            <w:shd w:val="clear" w:color="auto" w:fill="auto"/>
            <w:vAlign w:val="center"/>
          </w:tcPr>
          <w:p w14:paraId="3DCF2B5D" w14:textId="77777777" w:rsidR="00F26817" w:rsidRPr="00F26817" w:rsidRDefault="00F26817" w:rsidP="00F26817">
            <w:pPr>
              <w:suppressAutoHyphens/>
              <w:spacing w:before="40" w:after="40"/>
              <w:jc w:val="center"/>
              <w:rPr>
                <w:b/>
                <w:szCs w:val="22"/>
              </w:rPr>
            </w:pPr>
            <w:r w:rsidRPr="00F26817">
              <w:rPr>
                <w:b/>
                <w:szCs w:val="22"/>
              </w:rPr>
              <w:t>Fuel</w:t>
            </w:r>
          </w:p>
        </w:tc>
        <w:tc>
          <w:tcPr>
            <w:tcW w:w="3150" w:type="dxa"/>
            <w:vMerge w:val="restart"/>
            <w:tcBorders>
              <w:top w:val="single" w:sz="12" w:space="0" w:color="auto"/>
              <w:bottom w:val="single" w:sz="8" w:space="0" w:color="auto"/>
            </w:tcBorders>
            <w:shd w:val="clear" w:color="auto" w:fill="auto"/>
            <w:vAlign w:val="center"/>
          </w:tcPr>
          <w:p w14:paraId="4FBF56DE" w14:textId="77777777" w:rsidR="00F26817" w:rsidRPr="00F26817" w:rsidRDefault="00F26817" w:rsidP="00F26817">
            <w:pPr>
              <w:suppressAutoHyphens/>
              <w:spacing w:before="40" w:after="40"/>
              <w:jc w:val="center"/>
              <w:rPr>
                <w:b/>
                <w:szCs w:val="22"/>
              </w:rPr>
            </w:pPr>
            <w:r w:rsidRPr="00F26817">
              <w:rPr>
                <w:b/>
                <w:szCs w:val="22"/>
              </w:rPr>
              <w:t>Method of Operation</w:t>
            </w:r>
          </w:p>
        </w:tc>
        <w:tc>
          <w:tcPr>
            <w:tcW w:w="2520" w:type="dxa"/>
            <w:gridSpan w:val="2"/>
            <w:tcBorders>
              <w:top w:val="single" w:sz="12" w:space="0" w:color="auto"/>
              <w:bottom w:val="single" w:sz="8" w:space="0" w:color="auto"/>
            </w:tcBorders>
            <w:shd w:val="clear" w:color="auto" w:fill="auto"/>
            <w:vAlign w:val="center"/>
          </w:tcPr>
          <w:p w14:paraId="7A745272" w14:textId="77777777" w:rsidR="00F26817" w:rsidRPr="00F26817" w:rsidRDefault="00F26817" w:rsidP="00F26817">
            <w:pPr>
              <w:suppressAutoHyphens/>
              <w:spacing w:before="40" w:after="40"/>
              <w:jc w:val="center"/>
              <w:rPr>
                <w:b/>
                <w:szCs w:val="22"/>
              </w:rPr>
            </w:pPr>
            <w:r w:rsidRPr="00F26817">
              <w:rPr>
                <w:b/>
                <w:szCs w:val="22"/>
              </w:rPr>
              <w:t>Stack Test, 3-Run Average</w:t>
            </w:r>
          </w:p>
        </w:tc>
        <w:tc>
          <w:tcPr>
            <w:tcW w:w="1605" w:type="dxa"/>
            <w:gridSpan w:val="2"/>
            <w:tcBorders>
              <w:top w:val="single" w:sz="12" w:space="0" w:color="auto"/>
              <w:bottom w:val="single" w:sz="8" w:space="0" w:color="auto"/>
            </w:tcBorders>
            <w:shd w:val="clear" w:color="auto" w:fill="auto"/>
            <w:vAlign w:val="center"/>
          </w:tcPr>
          <w:p w14:paraId="5B8BCA69" w14:textId="77777777" w:rsidR="00F26817" w:rsidRPr="00F26817" w:rsidRDefault="00F26817" w:rsidP="00F26817">
            <w:pPr>
              <w:suppressAutoHyphens/>
              <w:spacing w:before="40"/>
              <w:jc w:val="center"/>
              <w:rPr>
                <w:b/>
                <w:szCs w:val="22"/>
              </w:rPr>
            </w:pPr>
            <w:r w:rsidRPr="00F26817">
              <w:rPr>
                <w:b/>
                <w:szCs w:val="22"/>
              </w:rPr>
              <w:t>CEMS</w:t>
            </w:r>
          </w:p>
          <w:p w14:paraId="1CE106AC" w14:textId="77777777" w:rsidR="00F26817" w:rsidRPr="00F26817" w:rsidRDefault="00F26817" w:rsidP="00F26817">
            <w:pPr>
              <w:suppressAutoHyphens/>
              <w:spacing w:after="40"/>
              <w:jc w:val="center"/>
              <w:rPr>
                <w:b/>
                <w:szCs w:val="22"/>
              </w:rPr>
            </w:pPr>
            <w:r w:rsidRPr="00F26817">
              <w:rPr>
                <w:b/>
                <w:szCs w:val="22"/>
              </w:rPr>
              <w:t>Block Average</w:t>
            </w:r>
          </w:p>
        </w:tc>
      </w:tr>
      <w:tr w:rsidR="00F26817" w:rsidRPr="00F26817" w14:paraId="19866490" w14:textId="77777777" w:rsidTr="008B5289">
        <w:trPr>
          <w:cantSplit/>
          <w:trHeight w:val="277"/>
        </w:trPr>
        <w:tc>
          <w:tcPr>
            <w:tcW w:w="1260" w:type="dxa"/>
            <w:vMerge/>
            <w:tcBorders>
              <w:top w:val="single" w:sz="8" w:space="0" w:color="auto"/>
              <w:bottom w:val="single" w:sz="12" w:space="0" w:color="auto"/>
            </w:tcBorders>
            <w:shd w:val="clear" w:color="auto" w:fill="auto"/>
            <w:vAlign w:val="center"/>
          </w:tcPr>
          <w:p w14:paraId="7879604D" w14:textId="77777777" w:rsidR="00F26817" w:rsidRPr="00F26817" w:rsidRDefault="00F26817" w:rsidP="00F26817">
            <w:pPr>
              <w:suppressAutoHyphens/>
              <w:spacing w:before="40" w:after="40"/>
              <w:jc w:val="center"/>
              <w:rPr>
                <w:b/>
                <w:szCs w:val="22"/>
              </w:rPr>
            </w:pPr>
          </w:p>
        </w:tc>
        <w:tc>
          <w:tcPr>
            <w:tcW w:w="915" w:type="dxa"/>
            <w:vMerge/>
            <w:tcBorders>
              <w:top w:val="single" w:sz="8" w:space="0" w:color="auto"/>
              <w:bottom w:val="single" w:sz="12" w:space="0" w:color="auto"/>
            </w:tcBorders>
            <w:shd w:val="clear" w:color="auto" w:fill="auto"/>
            <w:vAlign w:val="center"/>
          </w:tcPr>
          <w:p w14:paraId="63705B56" w14:textId="77777777" w:rsidR="00F26817" w:rsidRPr="00F26817" w:rsidRDefault="00F26817" w:rsidP="00F26817">
            <w:pPr>
              <w:suppressAutoHyphens/>
              <w:spacing w:before="40" w:after="40"/>
              <w:jc w:val="center"/>
              <w:rPr>
                <w:b/>
                <w:szCs w:val="22"/>
              </w:rPr>
            </w:pPr>
          </w:p>
        </w:tc>
        <w:tc>
          <w:tcPr>
            <w:tcW w:w="3150" w:type="dxa"/>
            <w:vMerge/>
            <w:tcBorders>
              <w:top w:val="single" w:sz="8" w:space="0" w:color="auto"/>
              <w:bottom w:val="single" w:sz="12" w:space="0" w:color="auto"/>
            </w:tcBorders>
            <w:shd w:val="clear" w:color="auto" w:fill="auto"/>
            <w:vAlign w:val="center"/>
          </w:tcPr>
          <w:p w14:paraId="686CEBB3" w14:textId="77777777" w:rsidR="00F26817" w:rsidRPr="00F26817" w:rsidRDefault="00F26817" w:rsidP="00F26817">
            <w:pPr>
              <w:suppressAutoHyphens/>
              <w:spacing w:before="40" w:after="40"/>
              <w:jc w:val="center"/>
              <w:rPr>
                <w:b/>
                <w:szCs w:val="22"/>
              </w:rPr>
            </w:pPr>
          </w:p>
        </w:tc>
        <w:tc>
          <w:tcPr>
            <w:tcW w:w="1440" w:type="dxa"/>
            <w:tcBorders>
              <w:top w:val="single" w:sz="8" w:space="0" w:color="auto"/>
              <w:bottom w:val="single" w:sz="12" w:space="0" w:color="auto"/>
            </w:tcBorders>
            <w:shd w:val="clear" w:color="auto" w:fill="auto"/>
            <w:vAlign w:val="center"/>
          </w:tcPr>
          <w:p w14:paraId="359B1CBA" w14:textId="77777777" w:rsidR="00F26817" w:rsidRPr="00F26817" w:rsidRDefault="00F26817" w:rsidP="00F26817">
            <w:pPr>
              <w:suppressAutoHyphens/>
              <w:spacing w:after="40"/>
              <w:jc w:val="center"/>
              <w:rPr>
                <w:b/>
                <w:szCs w:val="22"/>
              </w:rPr>
            </w:pPr>
            <w:r w:rsidRPr="00F26817">
              <w:rPr>
                <w:b/>
                <w:szCs w:val="22"/>
              </w:rPr>
              <w:t>ppmvd @ 15% O2</w:t>
            </w:r>
          </w:p>
        </w:tc>
        <w:tc>
          <w:tcPr>
            <w:tcW w:w="1080" w:type="dxa"/>
            <w:tcBorders>
              <w:top w:val="single" w:sz="8" w:space="0" w:color="auto"/>
              <w:bottom w:val="single" w:sz="12" w:space="0" w:color="auto"/>
            </w:tcBorders>
            <w:shd w:val="clear" w:color="auto" w:fill="auto"/>
            <w:vAlign w:val="center"/>
          </w:tcPr>
          <w:p w14:paraId="1AA9D839" w14:textId="77777777" w:rsidR="00F26817" w:rsidRPr="00F26817" w:rsidRDefault="00F26817" w:rsidP="00F26817">
            <w:pPr>
              <w:suppressAutoHyphens/>
              <w:spacing w:before="40" w:after="40"/>
              <w:jc w:val="center"/>
              <w:rPr>
                <w:b/>
                <w:szCs w:val="22"/>
              </w:rPr>
            </w:pPr>
            <w:r w:rsidRPr="00F26817">
              <w:rPr>
                <w:b/>
                <w:szCs w:val="22"/>
              </w:rPr>
              <w:t>lb/hour</w:t>
            </w:r>
          </w:p>
        </w:tc>
        <w:tc>
          <w:tcPr>
            <w:tcW w:w="1605" w:type="dxa"/>
            <w:gridSpan w:val="2"/>
            <w:tcBorders>
              <w:top w:val="single" w:sz="8" w:space="0" w:color="auto"/>
              <w:bottom w:val="single" w:sz="12" w:space="0" w:color="auto"/>
            </w:tcBorders>
            <w:shd w:val="clear" w:color="auto" w:fill="auto"/>
            <w:vAlign w:val="center"/>
          </w:tcPr>
          <w:p w14:paraId="00D8D595" w14:textId="77777777" w:rsidR="00F26817" w:rsidRPr="00F26817" w:rsidRDefault="00F26817" w:rsidP="00F26817">
            <w:pPr>
              <w:suppressAutoHyphens/>
              <w:spacing w:before="40"/>
              <w:jc w:val="center"/>
              <w:rPr>
                <w:b/>
                <w:szCs w:val="22"/>
              </w:rPr>
            </w:pPr>
            <w:r w:rsidRPr="00F26817">
              <w:rPr>
                <w:b/>
                <w:szCs w:val="22"/>
              </w:rPr>
              <w:t>ppmvd @ 15% O2</w:t>
            </w:r>
          </w:p>
        </w:tc>
      </w:tr>
      <w:tr w:rsidR="00F26817" w:rsidRPr="00F26817" w14:paraId="2AAA4781" w14:textId="77777777" w:rsidTr="008B5289">
        <w:trPr>
          <w:cantSplit/>
          <w:trHeight w:val="360"/>
        </w:trPr>
        <w:tc>
          <w:tcPr>
            <w:tcW w:w="1260" w:type="dxa"/>
            <w:vMerge w:val="restart"/>
            <w:tcBorders>
              <w:top w:val="single" w:sz="12" w:space="0" w:color="auto"/>
              <w:bottom w:val="single" w:sz="8" w:space="0" w:color="auto"/>
            </w:tcBorders>
            <w:shd w:val="clear" w:color="auto" w:fill="auto"/>
            <w:vAlign w:val="center"/>
          </w:tcPr>
          <w:p w14:paraId="53CC9AF7" w14:textId="77777777" w:rsidR="00F26817" w:rsidRPr="00F26817" w:rsidRDefault="00F26817" w:rsidP="00F26817">
            <w:pPr>
              <w:suppressAutoHyphens/>
              <w:spacing w:before="40" w:after="40"/>
              <w:jc w:val="center"/>
              <w:rPr>
                <w:b/>
                <w:szCs w:val="22"/>
              </w:rPr>
            </w:pPr>
            <w:r w:rsidRPr="00F26817">
              <w:rPr>
                <w:b/>
                <w:szCs w:val="22"/>
              </w:rPr>
              <w:t>CO</w:t>
            </w:r>
            <w:r w:rsidRPr="00F26817">
              <w:rPr>
                <w:b/>
                <w:szCs w:val="22"/>
                <w:vertAlign w:val="superscript"/>
              </w:rPr>
              <w:t xml:space="preserve"> a</w:t>
            </w:r>
          </w:p>
        </w:tc>
        <w:tc>
          <w:tcPr>
            <w:tcW w:w="915" w:type="dxa"/>
            <w:tcBorders>
              <w:top w:val="single" w:sz="12" w:space="0" w:color="auto"/>
              <w:bottom w:val="single" w:sz="8" w:space="0" w:color="auto"/>
            </w:tcBorders>
            <w:shd w:val="clear" w:color="auto" w:fill="auto"/>
            <w:vAlign w:val="center"/>
          </w:tcPr>
          <w:p w14:paraId="6B61D2FA" w14:textId="77777777" w:rsidR="00F26817" w:rsidRPr="00F26817" w:rsidRDefault="00F26817" w:rsidP="00F26817">
            <w:pPr>
              <w:suppressAutoHyphens/>
              <w:spacing w:before="40" w:after="40"/>
              <w:jc w:val="center"/>
              <w:rPr>
                <w:szCs w:val="22"/>
              </w:rPr>
            </w:pPr>
            <w:r w:rsidRPr="00F26817">
              <w:rPr>
                <w:szCs w:val="22"/>
              </w:rPr>
              <w:t>Oil</w:t>
            </w:r>
          </w:p>
        </w:tc>
        <w:tc>
          <w:tcPr>
            <w:tcW w:w="3150" w:type="dxa"/>
            <w:tcBorders>
              <w:top w:val="single" w:sz="12" w:space="0" w:color="auto"/>
              <w:bottom w:val="single" w:sz="8" w:space="0" w:color="auto"/>
            </w:tcBorders>
            <w:shd w:val="clear" w:color="auto" w:fill="auto"/>
            <w:vAlign w:val="center"/>
          </w:tcPr>
          <w:p w14:paraId="22E7AFDE" w14:textId="77777777" w:rsidR="00F26817" w:rsidRPr="00F26817" w:rsidRDefault="00F26817" w:rsidP="00F26817">
            <w:pPr>
              <w:suppressAutoHyphens/>
              <w:spacing w:before="40" w:after="40"/>
              <w:jc w:val="center"/>
              <w:rPr>
                <w:szCs w:val="22"/>
              </w:rPr>
            </w:pPr>
            <w:r w:rsidRPr="00F26817">
              <w:rPr>
                <w:szCs w:val="22"/>
              </w:rPr>
              <w:t>Combined Cycle</w:t>
            </w:r>
          </w:p>
        </w:tc>
        <w:tc>
          <w:tcPr>
            <w:tcW w:w="1440" w:type="dxa"/>
            <w:tcBorders>
              <w:top w:val="single" w:sz="12" w:space="0" w:color="auto"/>
              <w:bottom w:val="single" w:sz="8" w:space="0" w:color="auto"/>
            </w:tcBorders>
            <w:shd w:val="clear" w:color="auto" w:fill="auto"/>
            <w:vAlign w:val="center"/>
          </w:tcPr>
          <w:p w14:paraId="2D52929E" w14:textId="77777777" w:rsidR="00F26817" w:rsidRPr="00F26817" w:rsidRDefault="00F26817" w:rsidP="00F26817">
            <w:pPr>
              <w:suppressAutoHyphens/>
              <w:spacing w:before="40" w:after="40"/>
              <w:jc w:val="center"/>
              <w:rPr>
                <w:szCs w:val="22"/>
              </w:rPr>
            </w:pPr>
            <w:r w:rsidRPr="00F26817">
              <w:rPr>
                <w:szCs w:val="22"/>
              </w:rPr>
              <w:t>14.4</w:t>
            </w:r>
          </w:p>
        </w:tc>
        <w:tc>
          <w:tcPr>
            <w:tcW w:w="1080" w:type="dxa"/>
            <w:tcBorders>
              <w:top w:val="single" w:sz="12" w:space="0" w:color="auto"/>
              <w:bottom w:val="single" w:sz="8" w:space="0" w:color="auto"/>
            </w:tcBorders>
            <w:shd w:val="clear" w:color="auto" w:fill="auto"/>
            <w:vAlign w:val="center"/>
          </w:tcPr>
          <w:p w14:paraId="53CF8F5D" w14:textId="77777777" w:rsidR="00F26817" w:rsidRPr="00F26817" w:rsidRDefault="00F26817" w:rsidP="00F26817">
            <w:pPr>
              <w:suppressAutoHyphens/>
              <w:spacing w:before="40" w:after="40"/>
              <w:jc w:val="center"/>
              <w:rPr>
                <w:szCs w:val="22"/>
              </w:rPr>
            </w:pPr>
            <w:r w:rsidRPr="00F26817">
              <w:rPr>
                <w:szCs w:val="22"/>
              </w:rPr>
              <w:t>64.7</w:t>
            </w:r>
          </w:p>
        </w:tc>
        <w:tc>
          <w:tcPr>
            <w:tcW w:w="1605" w:type="dxa"/>
            <w:gridSpan w:val="2"/>
            <w:tcBorders>
              <w:top w:val="single" w:sz="12" w:space="0" w:color="auto"/>
              <w:bottom w:val="single" w:sz="8" w:space="0" w:color="auto"/>
            </w:tcBorders>
            <w:shd w:val="clear" w:color="auto" w:fill="auto"/>
            <w:vAlign w:val="center"/>
          </w:tcPr>
          <w:p w14:paraId="5CBBC610" w14:textId="77777777" w:rsidR="00F26817" w:rsidRPr="00F26817" w:rsidRDefault="00F26817" w:rsidP="00F26817">
            <w:pPr>
              <w:suppressAutoHyphens/>
              <w:spacing w:before="40" w:after="40"/>
              <w:jc w:val="center"/>
              <w:rPr>
                <w:szCs w:val="22"/>
              </w:rPr>
            </w:pPr>
            <w:r w:rsidRPr="00F26817">
              <w:rPr>
                <w:szCs w:val="22"/>
              </w:rPr>
              <w:t>15.0, 24-hr</w:t>
            </w:r>
          </w:p>
        </w:tc>
      </w:tr>
      <w:tr w:rsidR="00F26817" w:rsidRPr="00F26817" w14:paraId="189C7F94" w14:textId="77777777" w:rsidTr="008B5289">
        <w:trPr>
          <w:cantSplit/>
          <w:trHeight w:val="360"/>
        </w:trPr>
        <w:tc>
          <w:tcPr>
            <w:tcW w:w="1260" w:type="dxa"/>
            <w:vMerge/>
            <w:tcBorders>
              <w:top w:val="single" w:sz="8" w:space="0" w:color="auto"/>
              <w:bottom w:val="single" w:sz="8" w:space="0" w:color="auto"/>
            </w:tcBorders>
            <w:shd w:val="clear" w:color="auto" w:fill="auto"/>
            <w:vAlign w:val="center"/>
          </w:tcPr>
          <w:p w14:paraId="6185E4B8" w14:textId="77777777" w:rsidR="00F26817" w:rsidRPr="00F26817" w:rsidRDefault="00F26817" w:rsidP="00F26817">
            <w:pPr>
              <w:suppressAutoHyphens/>
              <w:spacing w:before="40" w:after="40"/>
              <w:jc w:val="center"/>
              <w:rPr>
                <w:b/>
                <w:szCs w:val="22"/>
              </w:rPr>
            </w:pPr>
          </w:p>
        </w:tc>
        <w:tc>
          <w:tcPr>
            <w:tcW w:w="915" w:type="dxa"/>
            <w:vMerge w:val="restart"/>
            <w:tcBorders>
              <w:top w:val="single" w:sz="8" w:space="0" w:color="auto"/>
              <w:bottom w:val="single" w:sz="8" w:space="0" w:color="auto"/>
            </w:tcBorders>
            <w:shd w:val="clear" w:color="auto" w:fill="auto"/>
            <w:vAlign w:val="center"/>
          </w:tcPr>
          <w:p w14:paraId="68A46446" w14:textId="77777777" w:rsidR="00F26817" w:rsidRPr="00F26817" w:rsidRDefault="00F26817" w:rsidP="00F26817">
            <w:pPr>
              <w:suppressAutoHyphens/>
              <w:spacing w:before="40" w:after="40"/>
              <w:jc w:val="center"/>
              <w:rPr>
                <w:szCs w:val="22"/>
              </w:rPr>
            </w:pPr>
            <w:r w:rsidRPr="00F26817">
              <w:rPr>
                <w:szCs w:val="22"/>
              </w:rPr>
              <w:t>Gas</w:t>
            </w:r>
          </w:p>
        </w:tc>
        <w:tc>
          <w:tcPr>
            <w:tcW w:w="3150" w:type="dxa"/>
            <w:tcBorders>
              <w:bottom w:val="single" w:sz="8" w:space="0" w:color="auto"/>
            </w:tcBorders>
            <w:shd w:val="clear" w:color="auto" w:fill="auto"/>
            <w:vAlign w:val="center"/>
          </w:tcPr>
          <w:p w14:paraId="05A7ADD2" w14:textId="77777777" w:rsidR="00F26817" w:rsidRPr="00F26817" w:rsidRDefault="00F26817" w:rsidP="00F26817">
            <w:pPr>
              <w:suppressAutoHyphens/>
              <w:spacing w:before="40" w:after="40"/>
              <w:jc w:val="center"/>
              <w:rPr>
                <w:szCs w:val="22"/>
              </w:rPr>
            </w:pPr>
            <w:r w:rsidRPr="00F26817">
              <w:rPr>
                <w:szCs w:val="22"/>
              </w:rPr>
              <w:t>Combined Cycle, Normal</w:t>
            </w:r>
          </w:p>
        </w:tc>
        <w:tc>
          <w:tcPr>
            <w:tcW w:w="1440" w:type="dxa"/>
            <w:tcBorders>
              <w:bottom w:val="single" w:sz="8" w:space="0" w:color="auto"/>
            </w:tcBorders>
            <w:shd w:val="clear" w:color="auto" w:fill="auto"/>
            <w:vAlign w:val="center"/>
          </w:tcPr>
          <w:p w14:paraId="0CC40358" w14:textId="77777777" w:rsidR="00F26817" w:rsidRPr="00F26817" w:rsidRDefault="00F26817" w:rsidP="00F26817">
            <w:pPr>
              <w:spacing w:before="40" w:after="40"/>
              <w:jc w:val="center"/>
              <w:rPr>
                <w:szCs w:val="22"/>
              </w:rPr>
            </w:pPr>
            <w:r w:rsidRPr="00F26817">
              <w:rPr>
                <w:szCs w:val="22"/>
              </w:rPr>
              <w:t>7.4</w:t>
            </w:r>
          </w:p>
        </w:tc>
        <w:tc>
          <w:tcPr>
            <w:tcW w:w="1080" w:type="dxa"/>
            <w:tcBorders>
              <w:bottom w:val="single" w:sz="8" w:space="0" w:color="auto"/>
            </w:tcBorders>
            <w:shd w:val="clear" w:color="auto" w:fill="auto"/>
            <w:vAlign w:val="center"/>
          </w:tcPr>
          <w:p w14:paraId="56C10755" w14:textId="77777777" w:rsidR="00F26817" w:rsidRPr="00F26817" w:rsidRDefault="00F26817" w:rsidP="00F26817">
            <w:pPr>
              <w:suppressAutoHyphens/>
              <w:spacing w:before="40" w:after="40"/>
              <w:jc w:val="center"/>
              <w:rPr>
                <w:szCs w:val="22"/>
              </w:rPr>
            </w:pPr>
            <w:r w:rsidRPr="00F26817">
              <w:rPr>
                <w:szCs w:val="22"/>
              </w:rPr>
              <w:t>27.5</w:t>
            </w:r>
          </w:p>
        </w:tc>
        <w:tc>
          <w:tcPr>
            <w:tcW w:w="1605" w:type="dxa"/>
            <w:gridSpan w:val="2"/>
            <w:vMerge w:val="restart"/>
            <w:tcBorders>
              <w:top w:val="single" w:sz="8" w:space="0" w:color="auto"/>
              <w:bottom w:val="single" w:sz="8" w:space="0" w:color="auto"/>
            </w:tcBorders>
            <w:shd w:val="clear" w:color="auto" w:fill="auto"/>
            <w:vAlign w:val="center"/>
          </w:tcPr>
          <w:p w14:paraId="464322D7" w14:textId="77777777" w:rsidR="00F26817" w:rsidRPr="00F26817" w:rsidRDefault="00F26817" w:rsidP="00F26817">
            <w:pPr>
              <w:tabs>
                <w:tab w:val="left" w:pos="510"/>
                <w:tab w:val="center" w:pos="1025"/>
              </w:tabs>
              <w:suppressAutoHyphens/>
              <w:spacing w:before="40" w:after="40"/>
              <w:jc w:val="center"/>
              <w:rPr>
                <w:szCs w:val="22"/>
              </w:rPr>
            </w:pPr>
            <w:r w:rsidRPr="00F26817">
              <w:rPr>
                <w:szCs w:val="22"/>
              </w:rPr>
              <w:t>10.0, 24-hr</w:t>
            </w:r>
          </w:p>
        </w:tc>
      </w:tr>
      <w:tr w:rsidR="00F26817" w:rsidRPr="00F26817" w14:paraId="311FB030" w14:textId="77777777" w:rsidTr="008B5289">
        <w:trPr>
          <w:cantSplit/>
          <w:trHeight w:val="360"/>
        </w:trPr>
        <w:tc>
          <w:tcPr>
            <w:tcW w:w="1260" w:type="dxa"/>
            <w:vMerge/>
            <w:tcBorders>
              <w:top w:val="single" w:sz="8" w:space="0" w:color="auto"/>
              <w:bottom w:val="single" w:sz="8" w:space="0" w:color="auto"/>
            </w:tcBorders>
            <w:shd w:val="clear" w:color="auto" w:fill="auto"/>
            <w:vAlign w:val="center"/>
          </w:tcPr>
          <w:p w14:paraId="46D712B4" w14:textId="77777777" w:rsidR="00F26817" w:rsidRPr="00F26817" w:rsidRDefault="00F26817" w:rsidP="00F26817">
            <w:pPr>
              <w:suppressAutoHyphens/>
              <w:spacing w:before="40" w:after="40"/>
              <w:jc w:val="center"/>
              <w:rPr>
                <w:b/>
                <w:szCs w:val="22"/>
              </w:rPr>
            </w:pPr>
          </w:p>
        </w:tc>
        <w:tc>
          <w:tcPr>
            <w:tcW w:w="915" w:type="dxa"/>
            <w:vMerge/>
            <w:tcBorders>
              <w:top w:val="single" w:sz="8" w:space="0" w:color="auto"/>
              <w:bottom w:val="single" w:sz="8" w:space="0" w:color="auto"/>
            </w:tcBorders>
            <w:shd w:val="clear" w:color="auto" w:fill="auto"/>
            <w:vAlign w:val="center"/>
          </w:tcPr>
          <w:p w14:paraId="43F5573C" w14:textId="77777777" w:rsidR="00F26817" w:rsidRPr="00F26817" w:rsidRDefault="00F26817" w:rsidP="00F26817">
            <w:pPr>
              <w:suppressAutoHyphens/>
              <w:spacing w:before="40" w:after="40"/>
              <w:jc w:val="center"/>
              <w:rPr>
                <w:szCs w:val="22"/>
              </w:rPr>
            </w:pPr>
          </w:p>
        </w:tc>
        <w:tc>
          <w:tcPr>
            <w:tcW w:w="3150" w:type="dxa"/>
            <w:tcBorders>
              <w:top w:val="single" w:sz="8" w:space="0" w:color="auto"/>
              <w:bottom w:val="single" w:sz="8" w:space="0" w:color="auto"/>
            </w:tcBorders>
            <w:shd w:val="clear" w:color="auto" w:fill="auto"/>
            <w:vAlign w:val="center"/>
          </w:tcPr>
          <w:p w14:paraId="36207C74" w14:textId="77777777" w:rsidR="00F26817" w:rsidRPr="00F26817" w:rsidRDefault="00F26817" w:rsidP="00F26817">
            <w:pPr>
              <w:suppressAutoHyphens/>
              <w:spacing w:before="40" w:after="40"/>
              <w:jc w:val="center"/>
              <w:rPr>
                <w:szCs w:val="22"/>
              </w:rPr>
            </w:pPr>
            <w:r w:rsidRPr="00F26817">
              <w:rPr>
                <w:szCs w:val="22"/>
              </w:rPr>
              <w:t>Combined Cycle, All Modes</w:t>
            </w:r>
          </w:p>
        </w:tc>
        <w:tc>
          <w:tcPr>
            <w:tcW w:w="1440" w:type="dxa"/>
            <w:tcBorders>
              <w:top w:val="single" w:sz="8" w:space="0" w:color="auto"/>
              <w:bottom w:val="single" w:sz="8" w:space="0" w:color="auto"/>
            </w:tcBorders>
            <w:shd w:val="clear" w:color="auto" w:fill="auto"/>
            <w:vAlign w:val="center"/>
          </w:tcPr>
          <w:p w14:paraId="175337F3" w14:textId="77777777" w:rsidR="00F26817" w:rsidRPr="00F26817" w:rsidRDefault="00F26817" w:rsidP="00F26817">
            <w:pPr>
              <w:spacing w:before="40" w:after="40"/>
              <w:jc w:val="center"/>
              <w:rPr>
                <w:szCs w:val="22"/>
              </w:rPr>
            </w:pPr>
            <w:r w:rsidRPr="00F26817">
              <w:rPr>
                <w:szCs w:val="22"/>
              </w:rPr>
              <w:t>NA</w:t>
            </w:r>
          </w:p>
        </w:tc>
        <w:tc>
          <w:tcPr>
            <w:tcW w:w="1080" w:type="dxa"/>
            <w:tcBorders>
              <w:top w:val="single" w:sz="8" w:space="0" w:color="auto"/>
              <w:bottom w:val="single" w:sz="8" w:space="0" w:color="auto"/>
            </w:tcBorders>
            <w:shd w:val="clear" w:color="auto" w:fill="auto"/>
            <w:vAlign w:val="center"/>
          </w:tcPr>
          <w:p w14:paraId="6E961587" w14:textId="77777777" w:rsidR="00F26817" w:rsidRPr="00F26817" w:rsidRDefault="00F26817" w:rsidP="00F26817">
            <w:pPr>
              <w:suppressAutoHyphens/>
              <w:spacing w:before="40" w:after="40"/>
              <w:jc w:val="center"/>
              <w:rPr>
                <w:szCs w:val="22"/>
              </w:rPr>
            </w:pPr>
            <w:r w:rsidRPr="00F26817">
              <w:rPr>
                <w:szCs w:val="22"/>
              </w:rPr>
              <w:t>NA</w:t>
            </w:r>
          </w:p>
        </w:tc>
        <w:tc>
          <w:tcPr>
            <w:tcW w:w="1605" w:type="dxa"/>
            <w:gridSpan w:val="2"/>
            <w:vMerge/>
            <w:tcBorders>
              <w:top w:val="single" w:sz="8" w:space="0" w:color="auto"/>
              <w:bottom w:val="single" w:sz="8" w:space="0" w:color="auto"/>
            </w:tcBorders>
            <w:shd w:val="clear" w:color="auto" w:fill="auto"/>
            <w:vAlign w:val="center"/>
          </w:tcPr>
          <w:p w14:paraId="0EC4DB59" w14:textId="77777777" w:rsidR="00F26817" w:rsidRPr="00F26817" w:rsidRDefault="00F26817" w:rsidP="00F26817">
            <w:pPr>
              <w:tabs>
                <w:tab w:val="left" w:pos="510"/>
                <w:tab w:val="center" w:pos="1025"/>
              </w:tabs>
              <w:suppressAutoHyphens/>
              <w:spacing w:before="40" w:after="40"/>
              <w:jc w:val="center"/>
              <w:rPr>
                <w:szCs w:val="22"/>
              </w:rPr>
            </w:pPr>
          </w:p>
        </w:tc>
      </w:tr>
      <w:tr w:rsidR="00F26817" w:rsidRPr="00F26817" w14:paraId="2B501723" w14:textId="77777777" w:rsidTr="008B5289">
        <w:trPr>
          <w:cantSplit/>
          <w:trHeight w:val="312"/>
        </w:trPr>
        <w:tc>
          <w:tcPr>
            <w:tcW w:w="1260" w:type="dxa"/>
            <w:vMerge w:val="restart"/>
            <w:tcBorders>
              <w:top w:val="single" w:sz="8" w:space="0" w:color="auto"/>
              <w:bottom w:val="single" w:sz="8" w:space="0" w:color="auto"/>
            </w:tcBorders>
            <w:shd w:val="clear" w:color="auto" w:fill="auto"/>
            <w:vAlign w:val="center"/>
          </w:tcPr>
          <w:p w14:paraId="27B6E686" w14:textId="77777777" w:rsidR="00F26817" w:rsidRPr="00F26817" w:rsidRDefault="00F26817" w:rsidP="00F26817">
            <w:pPr>
              <w:suppressAutoHyphens/>
              <w:spacing w:before="40" w:after="40"/>
              <w:jc w:val="center"/>
              <w:rPr>
                <w:b/>
                <w:szCs w:val="22"/>
              </w:rPr>
            </w:pPr>
            <w:r w:rsidRPr="00F26817">
              <w:rPr>
                <w:b/>
                <w:szCs w:val="22"/>
              </w:rPr>
              <w:t>NO</w:t>
            </w:r>
            <w:r w:rsidRPr="00F26817">
              <w:rPr>
                <w:b/>
                <w:szCs w:val="22"/>
                <w:vertAlign w:val="subscript"/>
              </w:rPr>
              <w:t>X</w:t>
            </w:r>
            <w:r w:rsidRPr="00F26817">
              <w:rPr>
                <w:b/>
                <w:szCs w:val="22"/>
                <w:vertAlign w:val="superscript"/>
              </w:rPr>
              <w:t xml:space="preserve"> b</w:t>
            </w:r>
          </w:p>
        </w:tc>
        <w:tc>
          <w:tcPr>
            <w:tcW w:w="915" w:type="dxa"/>
            <w:tcBorders>
              <w:top w:val="single" w:sz="8" w:space="0" w:color="auto"/>
              <w:bottom w:val="single" w:sz="8" w:space="0" w:color="auto"/>
            </w:tcBorders>
            <w:shd w:val="clear" w:color="auto" w:fill="auto"/>
            <w:vAlign w:val="center"/>
          </w:tcPr>
          <w:p w14:paraId="2EB6684A" w14:textId="77777777" w:rsidR="00F26817" w:rsidRPr="00F26817" w:rsidRDefault="00F26817" w:rsidP="00F26817">
            <w:pPr>
              <w:suppressAutoHyphens/>
              <w:spacing w:before="40" w:after="40"/>
              <w:jc w:val="center"/>
              <w:rPr>
                <w:szCs w:val="22"/>
              </w:rPr>
            </w:pPr>
            <w:r w:rsidRPr="00F26817">
              <w:rPr>
                <w:szCs w:val="22"/>
              </w:rPr>
              <w:t>Oil</w:t>
            </w:r>
          </w:p>
        </w:tc>
        <w:tc>
          <w:tcPr>
            <w:tcW w:w="3150" w:type="dxa"/>
            <w:tcBorders>
              <w:top w:val="single" w:sz="8" w:space="0" w:color="auto"/>
            </w:tcBorders>
            <w:shd w:val="clear" w:color="auto" w:fill="auto"/>
            <w:vAlign w:val="center"/>
          </w:tcPr>
          <w:p w14:paraId="26CBAEE8" w14:textId="77777777" w:rsidR="00F26817" w:rsidRPr="00F26817" w:rsidRDefault="00F26817" w:rsidP="00F26817">
            <w:pPr>
              <w:suppressAutoHyphens/>
              <w:spacing w:before="40" w:after="40"/>
              <w:jc w:val="center"/>
              <w:rPr>
                <w:szCs w:val="22"/>
              </w:rPr>
            </w:pPr>
            <w:r w:rsidRPr="00F26817">
              <w:rPr>
                <w:szCs w:val="22"/>
              </w:rPr>
              <w:t>Combined Cycle w/SCR</w:t>
            </w:r>
          </w:p>
        </w:tc>
        <w:tc>
          <w:tcPr>
            <w:tcW w:w="1440" w:type="dxa"/>
            <w:tcBorders>
              <w:top w:val="single" w:sz="8" w:space="0" w:color="auto"/>
            </w:tcBorders>
            <w:shd w:val="clear" w:color="auto" w:fill="auto"/>
            <w:vAlign w:val="center"/>
          </w:tcPr>
          <w:p w14:paraId="6F01D3D1" w14:textId="77777777" w:rsidR="00F26817" w:rsidRPr="00F26817" w:rsidRDefault="00F26817" w:rsidP="00F26817">
            <w:pPr>
              <w:spacing w:before="40" w:after="40"/>
              <w:jc w:val="center"/>
              <w:rPr>
                <w:szCs w:val="22"/>
              </w:rPr>
            </w:pPr>
            <w:r w:rsidRPr="00F26817">
              <w:rPr>
                <w:szCs w:val="22"/>
              </w:rPr>
              <w:t>10.0</w:t>
            </w:r>
          </w:p>
        </w:tc>
        <w:tc>
          <w:tcPr>
            <w:tcW w:w="1080" w:type="dxa"/>
            <w:tcBorders>
              <w:top w:val="single" w:sz="8" w:space="0" w:color="auto"/>
            </w:tcBorders>
            <w:shd w:val="clear" w:color="auto" w:fill="auto"/>
            <w:vAlign w:val="center"/>
          </w:tcPr>
          <w:p w14:paraId="3427FB74" w14:textId="77777777" w:rsidR="00F26817" w:rsidRPr="00F26817" w:rsidRDefault="00F26817" w:rsidP="00F26817">
            <w:pPr>
              <w:suppressAutoHyphens/>
              <w:spacing w:before="40" w:after="40"/>
              <w:jc w:val="center"/>
              <w:rPr>
                <w:szCs w:val="22"/>
              </w:rPr>
            </w:pPr>
            <w:r w:rsidRPr="00F26817">
              <w:rPr>
                <w:szCs w:val="22"/>
              </w:rPr>
              <w:t>76.0</w:t>
            </w:r>
          </w:p>
        </w:tc>
        <w:tc>
          <w:tcPr>
            <w:tcW w:w="1605" w:type="dxa"/>
            <w:gridSpan w:val="2"/>
            <w:tcBorders>
              <w:top w:val="single" w:sz="8" w:space="0" w:color="auto"/>
              <w:bottom w:val="single" w:sz="8" w:space="0" w:color="auto"/>
            </w:tcBorders>
            <w:shd w:val="clear" w:color="auto" w:fill="auto"/>
            <w:vAlign w:val="center"/>
          </w:tcPr>
          <w:p w14:paraId="7CE654CC" w14:textId="77777777" w:rsidR="00F26817" w:rsidRPr="00F26817" w:rsidRDefault="00F26817" w:rsidP="00F26817">
            <w:pPr>
              <w:suppressAutoHyphens/>
              <w:spacing w:before="40" w:after="40"/>
              <w:jc w:val="center"/>
              <w:rPr>
                <w:szCs w:val="22"/>
              </w:rPr>
            </w:pPr>
            <w:r w:rsidRPr="00F26817">
              <w:rPr>
                <w:szCs w:val="22"/>
              </w:rPr>
              <w:t>10.0, 24-hr</w:t>
            </w:r>
          </w:p>
        </w:tc>
      </w:tr>
      <w:tr w:rsidR="00F26817" w:rsidRPr="00F26817" w14:paraId="4986F0B5" w14:textId="77777777" w:rsidTr="008B5289">
        <w:trPr>
          <w:cantSplit/>
          <w:trHeight w:val="360"/>
        </w:trPr>
        <w:tc>
          <w:tcPr>
            <w:tcW w:w="1260" w:type="dxa"/>
            <w:vMerge/>
            <w:tcBorders>
              <w:top w:val="single" w:sz="8" w:space="0" w:color="auto"/>
              <w:bottom w:val="single" w:sz="8" w:space="0" w:color="auto"/>
            </w:tcBorders>
            <w:shd w:val="clear" w:color="auto" w:fill="auto"/>
            <w:vAlign w:val="center"/>
          </w:tcPr>
          <w:p w14:paraId="3A946B76" w14:textId="77777777" w:rsidR="00F26817" w:rsidRPr="00F26817" w:rsidRDefault="00F26817" w:rsidP="00F26817">
            <w:pPr>
              <w:suppressAutoHyphens/>
              <w:spacing w:before="40" w:after="40"/>
              <w:jc w:val="center"/>
              <w:rPr>
                <w:b/>
                <w:szCs w:val="22"/>
              </w:rPr>
            </w:pPr>
          </w:p>
        </w:tc>
        <w:tc>
          <w:tcPr>
            <w:tcW w:w="915" w:type="dxa"/>
            <w:vMerge w:val="restart"/>
            <w:tcBorders>
              <w:top w:val="single" w:sz="8" w:space="0" w:color="auto"/>
              <w:bottom w:val="single" w:sz="8" w:space="0" w:color="auto"/>
            </w:tcBorders>
            <w:shd w:val="clear" w:color="auto" w:fill="auto"/>
            <w:vAlign w:val="center"/>
          </w:tcPr>
          <w:p w14:paraId="6AEB6E39" w14:textId="77777777" w:rsidR="00F26817" w:rsidRPr="00F26817" w:rsidRDefault="00F26817" w:rsidP="00F26817">
            <w:pPr>
              <w:suppressAutoHyphens/>
              <w:spacing w:before="40" w:after="40"/>
              <w:jc w:val="center"/>
              <w:rPr>
                <w:szCs w:val="22"/>
              </w:rPr>
            </w:pPr>
            <w:r w:rsidRPr="00F26817">
              <w:rPr>
                <w:szCs w:val="22"/>
              </w:rPr>
              <w:t>Gas</w:t>
            </w:r>
          </w:p>
        </w:tc>
        <w:tc>
          <w:tcPr>
            <w:tcW w:w="3150" w:type="dxa"/>
            <w:shd w:val="clear" w:color="auto" w:fill="auto"/>
            <w:vAlign w:val="center"/>
          </w:tcPr>
          <w:p w14:paraId="64F0712C" w14:textId="77777777" w:rsidR="00F26817" w:rsidRPr="00F26817" w:rsidRDefault="00F26817" w:rsidP="00F26817">
            <w:pPr>
              <w:suppressAutoHyphens/>
              <w:spacing w:before="40" w:after="40"/>
              <w:jc w:val="center"/>
              <w:rPr>
                <w:szCs w:val="22"/>
              </w:rPr>
            </w:pPr>
            <w:r w:rsidRPr="00F26817">
              <w:rPr>
                <w:szCs w:val="22"/>
              </w:rPr>
              <w:t>Combined Cycle w/SCR, Normal</w:t>
            </w:r>
          </w:p>
        </w:tc>
        <w:tc>
          <w:tcPr>
            <w:tcW w:w="1440" w:type="dxa"/>
            <w:shd w:val="clear" w:color="auto" w:fill="auto"/>
            <w:vAlign w:val="center"/>
          </w:tcPr>
          <w:p w14:paraId="7732978C" w14:textId="77777777" w:rsidR="00F26817" w:rsidRPr="00F26817" w:rsidRDefault="00F26817" w:rsidP="00F26817">
            <w:pPr>
              <w:spacing w:before="40" w:after="40"/>
              <w:jc w:val="center"/>
              <w:rPr>
                <w:szCs w:val="22"/>
              </w:rPr>
            </w:pPr>
            <w:r w:rsidRPr="00F26817">
              <w:rPr>
                <w:szCs w:val="22"/>
              </w:rPr>
              <w:t>2.5</w:t>
            </w:r>
          </w:p>
        </w:tc>
        <w:tc>
          <w:tcPr>
            <w:tcW w:w="1080" w:type="dxa"/>
            <w:shd w:val="clear" w:color="auto" w:fill="auto"/>
            <w:vAlign w:val="center"/>
          </w:tcPr>
          <w:p w14:paraId="6AECCBA5" w14:textId="77777777" w:rsidR="00F26817" w:rsidRPr="00F26817" w:rsidRDefault="00F26817" w:rsidP="00F26817">
            <w:pPr>
              <w:suppressAutoHyphens/>
              <w:spacing w:before="40" w:after="40"/>
              <w:jc w:val="center"/>
              <w:rPr>
                <w:szCs w:val="22"/>
              </w:rPr>
            </w:pPr>
            <w:r w:rsidRPr="00F26817">
              <w:rPr>
                <w:szCs w:val="22"/>
              </w:rPr>
              <w:t>16.3</w:t>
            </w:r>
          </w:p>
        </w:tc>
        <w:tc>
          <w:tcPr>
            <w:tcW w:w="1605" w:type="dxa"/>
            <w:gridSpan w:val="2"/>
            <w:vMerge w:val="restart"/>
            <w:tcBorders>
              <w:top w:val="single" w:sz="8" w:space="0" w:color="auto"/>
              <w:bottom w:val="single" w:sz="8" w:space="0" w:color="auto"/>
            </w:tcBorders>
            <w:shd w:val="clear" w:color="auto" w:fill="auto"/>
            <w:vAlign w:val="center"/>
          </w:tcPr>
          <w:p w14:paraId="194D6777" w14:textId="77777777" w:rsidR="00F26817" w:rsidRPr="00F26817" w:rsidRDefault="00F26817" w:rsidP="00F26817">
            <w:pPr>
              <w:suppressAutoHyphens/>
              <w:spacing w:before="40" w:after="40"/>
              <w:jc w:val="center"/>
              <w:rPr>
                <w:szCs w:val="22"/>
              </w:rPr>
            </w:pPr>
            <w:r w:rsidRPr="00F26817">
              <w:rPr>
                <w:szCs w:val="22"/>
              </w:rPr>
              <w:t>2.5, 24-hr</w:t>
            </w:r>
          </w:p>
        </w:tc>
      </w:tr>
      <w:tr w:rsidR="00F26817" w:rsidRPr="00F26817" w14:paraId="24440155" w14:textId="77777777" w:rsidTr="008B5289">
        <w:trPr>
          <w:cantSplit/>
          <w:trHeight w:val="360"/>
        </w:trPr>
        <w:tc>
          <w:tcPr>
            <w:tcW w:w="1260" w:type="dxa"/>
            <w:vMerge/>
            <w:tcBorders>
              <w:top w:val="single" w:sz="8" w:space="0" w:color="auto"/>
              <w:bottom w:val="single" w:sz="8" w:space="0" w:color="auto"/>
            </w:tcBorders>
            <w:shd w:val="clear" w:color="auto" w:fill="auto"/>
            <w:vAlign w:val="center"/>
          </w:tcPr>
          <w:p w14:paraId="58CD3D99" w14:textId="77777777" w:rsidR="00F26817" w:rsidRPr="00F26817" w:rsidRDefault="00F26817" w:rsidP="00F26817">
            <w:pPr>
              <w:suppressAutoHyphens/>
              <w:spacing w:before="40" w:after="40"/>
              <w:jc w:val="center"/>
              <w:rPr>
                <w:b/>
                <w:szCs w:val="22"/>
              </w:rPr>
            </w:pPr>
          </w:p>
        </w:tc>
        <w:tc>
          <w:tcPr>
            <w:tcW w:w="915" w:type="dxa"/>
            <w:vMerge/>
            <w:tcBorders>
              <w:top w:val="single" w:sz="8" w:space="0" w:color="auto"/>
              <w:bottom w:val="single" w:sz="8" w:space="0" w:color="auto"/>
            </w:tcBorders>
            <w:shd w:val="clear" w:color="auto" w:fill="auto"/>
            <w:vAlign w:val="center"/>
          </w:tcPr>
          <w:p w14:paraId="54C0FB5C" w14:textId="77777777" w:rsidR="00F26817" w:rsidRPr="00F26817" w:rsidRDefault="00F26817" w:rsidP="00F26817">
            <w:pPr>
              <w:suppressAutoHyphens/>
              <w:spacing w:before="40" w:after="40"/>
              <w:jc w:val="center"/>
              <w:rPr>
                <w:szCs w:val="22"/>
              </w:rPr>
            </w:pPr>
          </w:p>
        </w:tc>
        <w:tc>
          <w:tcPr>
            <w:tcW w:w="3150" w:type="dxa"/>
            <w:tcBorders>
              <w:bottom w:val="single" w:sz="8" w:space="0" w:color="auto"/>
            </w:tcBorders>
            <w:shd w:val="clear" w:color="auto" w:fill="auto"/>
            <w:vAlign w:val="center"/>
          </w:tcPr>
          <w:p w14:paraId="0A77DE07" w14:textId="77777777" w:rsidR="00F26817" w:rsidRPr="00F26817" w:rsidRDefault="00F26817" w:rsidP="00F26817">
            <w:pPr>
              <w:suppressAutoHyphens/>
              <w:spacing w:before="40"/>
              <w:jc w:val="center"/>
              <w:rPr>
                <w:szCs w:val="22"/>
              </w:rPr>
            </w:pPr>
            <w:r w:rsidRPr="00F26817">
              <w:rPr>
                <w:szCs w:val="22"/>
              </w:rPr>
              <w:t>Combined Cycle w/SCR and DB</w:t>
            </w:r>
          </w:p>
        </w:tc>
        <w:tc>
          <w:tcPr>
            <w:tcW w:w="1440" w:type="dxa"/>
            <w:tcBorders>
              <w:bottom w:val="single" w:sz="8" w:space="0" w:color="auto"/>
            </w:tcBorders>
            <w:shd w:val="clear" w:color="auto" w:fill="auto"/>
            <w:vAlign w:val="center"/>
          </w:tcPr>
          <w:p w14:paraId="338D71B5" w14:textId="77777777" w:rsidR="00F26817" w:rsidRPr="00F26817" w:rsidRDefault="00F26817" w:rsidP="00F26817">
            <w:pPr>
              <w:spacing w:before="40" w:after="40"/>
              <w:jc w:val="center"/>
              <w:rPr>
                <w:szCs w:val="22"/>
              </w:rPr>
            </w:pPr>
            <w:r w:rsidRPr="00F26817">
              <w:rPr>
                <w:szCs w:val="22"/>
              </w:rPr>
              <w:t>2.5</w:t>
            </w:r>
          </w:p>
        </w:tc>
        <w:tc>
          <w:tcPr>
            <w:tcW w:w="1080" w:type="dxa"/>
            <w:tcBorders>
              <w:bottom w:val="single" w:sz="8" w:space="0" w:color="auto"/>
            </w:tcBorders>
            <w:shd w:val="clear" w:color="auto" w:fill="auto"/>
            <w:vAlign w:val="center"/>
          </w:tcPr>
          <w:p w14:paraId="54500B50" w14:textId="77777777" w:rsidR="00F26817" w:rsidRPr="00F26817" w:rsidRDefault="00F26817" w:rsidP="00F26817">
            <w:pPr>
              <w:suppressAutoHyphens/>
              <w:spacing w:before="40"/>
              <w:jc w:val="center"/>
              <w:rPr>
                <w:szCs w:val="22"/>
              </w:rPr>
            </w:pPr>
            <w:r w:rsidRPr="00F26817">
              <w:rPr>
                <w:szCs w:val="22"/>
              </w:rPr>
              <w:t>23.6</w:t>
            </w:r>
          </w:p>
        </w:tc>
        <w:tc>
          <w:tcPr>
            <w:tcW w:w="1605" w:type="dxa"/>
            <w:gridSpan w:val="2"/>
            <w:vMerge/>
            <w:tcBorders>
              <w:top w:val="single" w:sz="8" w:space="0" w:color="auto"/>
              <w:bottom w:val="single" w:sz="8" w:space="0" w:color="auto"/>
            </w:tcBorders>
            <w:shd w:val="clear" w:color="auto" w:fill="auto"/>
            <w:vAlign w:val="center"/>
          </w:tcPr>
          <w:p w14:paraId="1DCEDEBF" w14:textId="77777777" w:rsidR="00F26817" w:rsidRPr="00F26817" w:rsidRDefault="00F26817" w:rsidP="00F26817">
            <w:pPr>
              <w:suppressAutoHyphens/>
              <w:spacing w:before="40" w:after="40"/>
              <w:jc w:val="center"/>
              <w:rPr>
                <w:szCs w:val="22"/>
              </w:rPr>
            </w:pPr>
          </w:p>
        </w:tc>
      </w:tr>
      <w:tr w:rsidR="00F26817" w:rsidRPr="00F26817" w14:paraId="42BB1ED8" w14:textId="77777777" w:rsidTr="008B5289">
        <w:trPr>
          <w:cantSplit/>
          <w:trHeight w:val="360"/>
        </w:trPr>
        <w:tc>
          <w:tcPr>
            <w:tcW w:w="1260" w:type="dxa"/>
            <w:vMerge/>
            <w:tcBorders>
              <w:top w:val="single" w:sz="8" w:space="0" w:color="auto"/>
              <w:bottom w:val="single" w:sz="8" w:space="0" w:color="auto"/>
            </w:tcBorders>
            <w:shd w:val="clear" w:color="auto" w:fill="auto"/>
            <w:vAlign w:val="center"/>
          </w:tcPr>
          <w:p w14:paraId="5FF3D957" w14:textId="77777777" w:rsidR="00F26817" w:rsidRPr="00F26817" w:rsidRDefault="00F26817" w:rsidP="00F26817">
            <w:pPr>
              <w:suppressAutoHyphens/>
              <w:spacing w:before="40" w:after="40"/>
              <w:jc w:val="center"/>
              <w:rPr>
                <w:b/>
                <w:szCs w:val="22"/>
              </w:rPr>
            </w:pPr>
          </w:p>
        </w:tc>
        <w:tc>
          <w:tcPr>
            <w:tcW w:w="915" w:type="dxa"/>
            <w:vMerge/>
            <w:tcBorders>
              <w:top w:val="single" w:sz="8" w:space="0" w:color="auto"/>
              <w:bottom w:val="single" w:sz="8" w:space="0" w:color="auto"/>
            </w:tcBorders>
            <w:shd w:val="clear" w:color="auto" w:fill="auto"/>
            <w:vAlign w:val="center"/>
          </w:tcPr>
          <w:p w14:paraId="28E5D90A" w14:textId="77777777" w:rsidR="00F26817" w:rsidRPr="00F26817" w:rsidRDefault="00F26817" w:rsidP="00F26817">
            <w:pPr>
              <w:suppressAutoHyphens/>
              <w:spacing w:before="40" w:after="40"/>
              <w:jc w:val="center"/>
              <w:rPr>
                <w:szCs w:val="22"/>
              </w:rPr>
            </w:pPr>
          </w:p>
        </w:tc>
        <w:tc>
          <w:tcPr>
            <w:tcW w:w="3150" w:type="dxa"/>
            <w:tcBorders>
              <w:top w:val="single" w:sz="8" w:space="0" w:color="auto"/>
              <w:bottom w:val="single" w:sz="8" w:space="0" w:color="auto"/>
            </w:tcBorders>
            <w:shd w:val="clear" w:color="auto" w:fill="auto"/>
            <w:vAlign w:val="center"/>
          </w:tcPr>
          <w:p w14:paraId="14C426D5" w14:textId="77777777" w:rsidR="00F26817" w:rsidRPr="00F26817" w:rsidRDefault="00F26817" w:rsidP="00F26817">
            <w:pPr>
              <w:suppressAutoHyphens/>
              <w:spacing w:before="40"/>
              <w:jc w:val="center"/>
              <w:rPr>
                <w:szCs w:val="22"/>
              </w:rPr>
            </w:pPr>
            <w:r w:rsidRPr="00F26817">
              <w:rPr>
                <w:szCs w:val="22"/>
              </w:rPr>
              <w:t>Combined Cycle w/SCR, All Modes</w:t>
            </w:r>
          </w:p>
        </w:tc>
        <w:tc>
          <w:tcPr>
            <w:tcW w:w="1440" w:type="dxa"/>
            <w:tcBorders>
              <w:top w:val="single" w:sz="8" w:space="0" w:color="auto"/>
              <w:bottom w:val="single" w:sz="8" w:space="0" w:color="auto"/>
            </w:tcBorders>
            <w:shd w:val="clear" w:color="auto" w:fill="auto"/>
            <w:vAlign w:val="center"/>
          </w:tcPr>
          <w:p w14:paraId="441276D2" w14:textId="77777777" w:rsidR="00F26817" w:rsidRPr="00F26817" w:rsidRDefault="00F26817" w:rsidP="00F26817">
            <w:pPr>
              <w:spacing w:before="40" w:after="40"/>
              <w:jc w:val="center"/>
              <w:rPr>
                <w:szCs w:val="22"/>
              </w:rPr>
            </w:pPr>
            <w:r w:rsidRPr="00F26817">
              <w:rPr>
                <w:szCs w:val="22"/>
              </w:rPr>
              <w:t>NA</w:t>
            </w:r>
          </w:p>
        </w:tc>
        <w:tc>
          <w:tcPr>
            <w:tcW w:w="1080" w:type="dxa"/>
            <w:tcBorders>
              <w:top w:val="single" w:sz="8" w:space="0" w:color="auto"/>
              <w:bottom w:val="single" w:sz="8" w:space="0" w:color="auto"/>
            </w:tcBorders>
            <w:shd w:val="clear" w:color="auto" w:fill="auto"/>
            <w:vAlign w:val="center"/>
          </w:tcPr>
          <w:p w14:paraId="13652E08" w14:textId="77777777" w:rsidR="00F26817" w:rsidRPr="00F26817" w:rsidRDefault="00F26817" w:rsidP="00F26817">
            <w:pPr>
              <w:suppressAutoHyphens/>
              <w:spacing w:before="40"/>
              <w:jc w:val="center"/>
              <w:rPr>
                <w:szCs w:val="22"/>
              </w:rPr>
            </w:pPr>
            <w:r w:rsidRPr="00F26817">
              <w:rPr>
                <w:szCs w:val="22"/>
              </w:rPr>
              <w:t>NA</w:t>
            </w:r>
          </w:p>
        </w:tc>
        <w:tc>
          <w:tcPr>
            <w:tcW w:w="1605" w:type="dxa"/>
            <w:gridSpan w:val="2"/>
            <w:vMerge/>
            <w:tcBorders>
              <w:top w:val="single" w:sz="8" w:space="0" w:color="auto"/>
              <w:bottom w:val="single" w:sz="8" w:space="0" w:color="auto"/>
            </w:tcBorders>
            <w:shd w:val="clear" w:color="auto" w:fill="auto"/>
            <w:vAlign w:val="center"/>
          </w:tcPr>
          <w:p w14:paraId="2BA3B748" w14:textId="77777777" w:rsidR="00F26817" w:rsidRPr="00F26817" w:rsidRDefault="00F26817" w:rsidP="00F26817">
            <w:pPr>
              <w:suppressAutoHyphens/>
              <w:spacing w:before="40" w:after="40"/>
              <w:jc w:val="center"/>
              <w:rPr>
                <w:szCs w:val="22"/>
              </w:rPr>
            </w:pPr>
          </w:p>
        </w:tc>
      </w:tr>
      <w:tr w:rsidR="00F26817" w:rsidRPr="00F26817" w14:paraId="2C626B5B" w14:textId="77777777" w:rsidTr="008B5289">
        <w:trPr>
          <w:cantSplit/>
          <w:trHeight w:val="360"/>
        </w:trPr>
        <w:tc>
          <w:tcPr>
            <w:tcW w:w="1260" w:type="dxa"/>
            <w:vMerge w:val="restart"/>
            <w:tcBorders>
              <w:top w:val="single" w:sz="8" w:space="0" w:color="auto"/>
              <w:bottom w:val="single" w:sz="8" w:space="0" w:color="auto"/>
            </w:tcBorders>
            <w:shd w:val="clear" w:color="auto" w:fill="auto"/>
            <w:vAlign w:val="center"/>
          </w:tcPr>
          <w:p w14:paraId="1474B8A4" w14:textId="77777777" w:rsidR="00F26817" w:rsidRPr="00F26817" w:rsidRDefault="00F26817" w:rsidP="00F26817">
            <w:pPr>
              <w:suppressAutoHyphens/>
              <w:spacing w:before="40" w:after="40"/>
              <w:jc w:val="center"/>
              <w:rPr>
                <w:b/>
                <w:szCs w:val="22"/>
              </w:rPr>
            </w:pPr>
            <w:r w:rsidRPr="00F26817">
              <w:rPr>
                <w:b/>
                <w:szCs w:val="22"/>
              </w:rPr>
              <w:t>PM/PM</w:t>
            </w:r>
            <w:r w:rsidRPr="00F26817">
              <w:rPr>
                <w:b/>
                <w:szCs w:val="22"/>
                <w:vertAlign w:val="subscript"/>
              </w:rPr>
              <w:t>10</w:t>
            </w:r>
            <w:r w:rsidRPr="00F26817">
              <w:rPr>
                <w:b/>
                <w:szCs w:val="22"/>
                <w:vertAlign w:val="superscript"/>
              </w:rPr>
              <w:t xml:space="preserve"> c</w:t>
            </w:r>
          </w:p>
        </w:tc>
        <w:tc>
          <w:tcPr>
            <w:tcW w:w="915" w:type="dxa"/>
            <w:vMerge w:val="restart"/>
            <w:tcBorders>
              <w:top w:val="single" w:sz="8" w:space="0" w:color="auto"/>
              <w:bottom w:val="single" w:sz="8" w:space="0" w:color="auto"/>
            </w:tcBorders>
            <w:shd w:val="clear" w:color="auto" w:fill="auto"/>
            <w:vAlign w:val="center"/>
          </w:tcPr>
          <w:p w14:paraId="5CDC269F" w14:textId="77777777" w:rsidR="00F26817" w:rsidRPr="00F26817" w:rsidRDefault="00F26817" w:rsidP="00F26817">
            <w:pPr>
              <w:suppressAutoHyphens/>
              <w:spacing w:before="40" w:after="40"/>
              <w:jc w:val="center"/>
              <w:rPr>
                <w:szCs w:val="22"/>
              </w:rPr>
            </w:pPr>
            <w:r w:rsidRPr="00F26817">
              <w:rPr>
                <w:szCs w:val="22"/>
              </w:rPr>
              <w:t>Oil/Gas</w:t>
            </w:r>
          </w:p>
        </w:tc>
        <w:tc>
          <w:tcPr>
            <w:tcW w:w="3150" w:type="dxa"/>
            <w:tcBorders>
              <w:top w:val="single" w:sz="8" w:space="0" w:color="auto"/>
              <w:bottom w:val="single" w:sz="8" w:space="0" w:color="auto"/>
            </w:tcBorders>
            <w:shd w:val="clear" w:color="auto" w:fill="auto"/>
            <w:vAlign w:val="center"/>
          </w:tcPr>
          <w:p w14:paraId="04C280B3" w14:textId="77777777" w:rsidR="00F26817" w:rsidRPr="00F26817" w:rsidRDefault="00F26817" w:rsidP="00F26817">
            <w:pPr>
              <w:suppressAutoHyphens/>
              <w:spacing w:before="40" w:after="40"/>
              <w:jc w:val="center"/>
              <w:rPr>
                <w:szCs w:val="22"/>
              </w:rPr>
            </w:pPr>
            <w:r w:rsidRPr="00F26817">
              <w:rPr>
                <w:szCs w:val="22"/>
              </w:rPr>
              <w:t>Combined Cycle</w:t>
            </w:r>
          </w:p>
        </w:tc>
        <w:tc>
          <w:tcPr>
            <w:tcW w:w="4125" w:type="dxa"/>
            <w:gridSpan w:val="4"/>
            <w:tcBorders>
              <w:top w:val="single" w:sz="8" w:space="0" w:color="auto"/>
              <w:bottom w:val="single" w:sz="8" w:space="0" w:color="auto"/>
            </w:tcBorders>
            <w:shd w:val="clear" w:color="auto" w:fill="auto"/>
            <w:vAlign w:val="center"/>
          </w:tcPr>
          <w:p w14:paraId="34D00BD3" w14:textId="77777777" w:rsidR="00F26817" w:rsidRPr="00F26817" w:rsidRDefault="00F26817" w:rsidP="00F26817">
            <w:pPr>
              <w:suppressAutoHyphens/>
              <w:spacing w:before="40" w:after="40"/>
              <w:jc w:val="center"/>
              <w:rPr>
                <w:szCs w:val="22"/>
              </w:rPr>
            </w:pPr>
            <w:r w:rsidRPr="00F26817">
              <w:rPr>
                <w:szCs w:val="22"/>
              </w:rPr>
              <w:t>Fuel Specifications</w:t>
            </w:r>
          </w:p>
        </w:tc>
      </w:tr>
      <w:tr w:rsidR="00F26817" w:rsidRPr="00F26817" w14:paraId="2932C5E3" w14:textId="77777777" w:rsidTr="008B5289">
        <w:trPr>
          <w:cantSplit/>
          <w:trHeight w:val="360"/>
        </w:trPr>
        <w:tc>
          <w:tcPr>
            <w:tcW w:w="1260" w:type="dxa"/>
            <w:vMerge/>
            <w:tcBorders>
              <w:top w:val="single" w:sz="8" w:space="0" w:color="auto"/>
              <w:bottom w:val="single" w:sz="8" w:space="0" w:color="auto"/>
            </w:tcBorders>
            <w:shd w:val="clear" w:color="auto" w:fill="auto"/>
            <w:vAlign w:val="center"/>
          </w:tcPr>
          <w:p w14:paraId="56BD4365" w14:textId="77777777" w:rsidR="00F26817" w:rsidRPr="00F26817" w:rsidRDefault="00F26817" w:rsidP="00F26817">
            <w:pPr>
              <w:suppressAutoHyphens/>
              <w:spacing w:before="40" w:after="40"/>
              <w:jc w:val="center"/>
              <w:rPr>
                <w:b/>
                <w:szCs w:val="22"/>
              </w:rPr>
            </w:pPr>
          </w:p>
        </w:tc>
        <w:tc>
          <w:tcPr>
            <w:tcW w:w="915" w:type="dxa"/>
            <w:vMerge/>
            <w:tcBorders>
              <w:top w:val="single" w:sz="8" w:space="0" w:color="auto"/>
              <w:bottom w:val="single" w:sz="8" w:space="0" w:color="auto"/>
            </w:tcBorders>
            <w:shd w:val="clear" w:color="auto" w:fill="auto"/>
            <w:vAlign w:val="center"/>
          </w:tcPr>
          <w:p w14:paraId="35CF6284" w14:textId="77777777" w:rsidR="00F26817" w:rsidRPr="00F26817" w:rsidRDefault="00F26817" w:rsidP="00F26817">
            <w:pPr>
              <w:suppressAutoHyphens/>
              <w:spacing w:before="40" w:after="40"/>
              <w:jc w:val="center"/>
              <w:rPr>
                <w:szCs w:val="22"/>
              </w:rPr>
            </w:pPr>
          </w:p>
        </w:tc>
        <w:tc>
          <w:tcPr>
            <w:tcW w:w="3150" w:type="dxa"/>
            <w:tcBorders>
              <w:top w:val="single" w:sz="8" w:space="0" w:color="auto"/>
              <w:bottom w:val="single" w:sz="8" w:space="0" w:color="auto"/>
            </w:tcBorders>
            <w:shd w:val="clear" w:color="auto" w:fill="auto"/>
            <w:vAlign w:val="center"/>
          </w:tcPr>
          <w:p w14:paraId="70034036" w14:textId="77777777" w:rsidR="00F26817" w:rsidRPr="00F26817" w:rsidRDefault="00F26817" w:rsidP="00F26817">
            <w:pPr>
              <w:suppressAutoHyphens/>
              <w:spacing w:before="40" w:after="40"/>
              <w:jc w:val="center"/>
              <w:rPr>
                <w:szCs w:val="22"/>
              </w:rPr>
            </w:pPr>
            <w:r w:rsidRPr="00F26817">
              <w:rPr>
                <w:szCs w:val="22"/>
              </w:rPr>
              <w:t>Combined Cycle</w:t>
            </w:r>
          </w:p>
        </w:tc>
        <w:tc>
          <w:tcPr>
            <w:tcW w:w="4125" w:type="dxa"/>
            <w:gridSpan w:val="4"/>
            <w:tcBorders>
              <w:top w:val="single" w:sz="8" w:space="0" w:color="auto"/>
              <w:bottom w:val="single" w:sz="8" w:space="0" w:color="auto"/>
            </w:tcBorders>
            <w:shd w:val="clear" w:color="auto" w:fill="auto"/>
            <w:vAlign w:val="center"/>
          </w:tcPr>
          <w:p w14:paraId="47C344CA" w14:textId="77777777" w:rsidR="00F26817" w:rsidRPr="00F26817" w:rsidRDefault="00F26817" w:rsidP="00F26817">
            <w:pPr>
              <w:suppressAutoHyphens/>
              <w:spacing w:before="40" w:after="40"/>
              <w:jc w:val="center"/>
              <w:rPr>
                <w:szCs w:val="22"/>
              </w:rPr>
            </w:pPr>
            <w:r w:rsidRPr="00F26817">
              <w:rPr>
                <w:szCs w:val="22"/>
              </w:rPr>
              <w:t>Visible emissions shall not exceed 10% opacity for each 6-minute block average.</w:t>
            </w:r>
          </w:p>
        </w:tc>
      </w:tr>
      <w:tr w:rsidR="00F26817" w:rsidRPr="00F26817" w14:paraId="072AD76E" w14:textId="77777777" w:rsidTr="008B5289">
        <w:trPr>
          <w:cantSplit/>
          <w:trHeight w:val="360"/>
        </w:trPr>
        <w:tc>
          <w:tcPr>
            <w:tcW w:w="1260" w:type="dxa"/>
            <w:tcBorders>
              <w:top w:val="single" w:sz="8" w:space="0" w:color="auto"/>
              <w:bottom w:val="single" w:sz="8" w:space="0" w:color="auto"/>
            </w:tcBorders>
            <w:shd w:val="clear" w:color="auto" w:fill="auto"/>
            <w:vAlign w:val="center"/>
          </w:tcPr>
          <w:p w14:paraId="1BDE5A67" w14:textId="77777777" w:rsidR="00F26817" w:rsidRPr="00F26817" w:rsidRDefault="00F26817" w:rsidP="00F26817">
            <w:pPr>
              <w:suppressAutoHyphens/>
              <w:spacing w:before="40" w:after="40"/>
              <w:jc w:val="center"/>
              <w:rPr>
                <w:b/>
                <w:szCs w:val="22"/>
              </w:rPr>
            </w:pPr>
            <w:r w:rsidRPr="00F26817">
              <w:rPr>
                <w:b/>
                <w:szCs w:val="22"/>
              </w:rPr>
              <w:t>SAM/SO</w:t>
            </w:r>
            <w:r w:rsidRPr="00F26817">
              <w:rPr>
                <w:b/>
                <w:szCs w:val="22"/>
                <w:vertAlign w:val="subscript"/>
              </w:rPr>
              <w:t>2</w:t>
            </w:r>
            <w:r w:rsidRPr="00F26817">
              <w:rPr>
                <w:b/>
                <w:szCs w:val="22"/>
                <w:vertAlign w:val="superscript"/>
              </w:rPr>
              <w:t xml:space="preserve"> d</w:t>
            </w:r>
          </w:p>
        </w:tc>
        <w:tc>
          <w:tcPr>
            <w:tcW w:w="915" w:type="dxa"/>
            <w:tcBorders>
              <w:top w:val="single" w:sz="8" w:space="0" w:color="auto"/>
              <w:bottom w:val="single" w:sz="8" w:space="0" w:color="auto"/>
            </w:tcBorders>
            <w:shd w:val="clear" w:color="auto" w:fill="auto"/>
            <w:vAlign w:val="center"/>
          </w:tcPr>
          <w:p w14:paraId="3C3ED917" w14:textId="77777777" w:rsidR="00F26817" w:rsidRPr="00F26817" w:rsidRDefault="00F26817" w:rsidP="00F26817">
            <w:pPr>
              <w:suppressAutoHyphens/>
              <w:spacing w:before="40" w:after="40"/>
              <w:jc w:val="center"/>
              <w:rPr>
                <w:szCs w:val="22"/>
              </w:rPr>
            </w:pPr>
            <w:r w:rsidRPr="00F26817">
              <w:rPr>
                <w:szCs w:val="22"/>
              </w:rPr>
              <w:t>Oil/Gas</w:t>
            </w:r>
          </w:p>
        </w:tc>
        <w:tc>
          <w:tcPr>
            <w:tcW w:w="3150" w:type="dxa"/>
            <w:tcBorders>
              <w:top w:val="single" w:sz="8" w:space="0" w:color="auto"/>
              <w:bottom w:val="single" w:sz="8" w:space="0" w:color="auto"/>
            </w:tcBorders>
            <w:shd w:val="clear" w:color="auto" w:fill="auto"/>
            <w:vAlign w:val="center"/>
          </w:tcPr>
          <w:p w14:paraId="521B1F9F" w14:textId="77777777" w:rsidR="00F26817" w:rsidRPr="00F26817" w:rsidRDefault="00F26817" w:rsidP="00F26817">
            <w:pPr>
              <w:suppressAutoHyphens/>
              <w:spacing w:before="40" w:after="40"/>
              <w:jc w:val="center"/>
              <w:rPr>
                <w:szCs w:val="22"/>
              </w:rPr>
            </w:pPr>
            <w:r w:rsidRPr="00F26817">
              <w:rPr>
                <w:szCs w:val="22"/>
              </w:rPr>
              <w:t>Combined Cycle</w:t>
            </w:r>
          </w:p>
        </w:tc>
        <w:tc>
          <w:tcPr>
            <w:tcW w:w="4125" w:type="dxa"/>
            <w:gridSpan w:val="4"/>
            <w:tcBorders>
              <w:top w:val="single" w:sz="8" w:space="0" w:color="auto"/>
              <w:bottom w:val="single" w:sz="8" w:space="0" w:color="auto"/>
            </w:tcBorders>
            <w:shd w:val="clear" w:color="auto" w:fill="auto"/>
            <w:vAlign w:val="center"/>
          </w:tcPr>
          <w:p w14:paraId="7598EF8C" w14:textId="77777777" w:rsidR="00F26817" w:rsidRPr="00F26817" w:rsidRDefault="00F26817" w:rsidP="00F26817">
            <w:pPr>
              <w:suppressAutoHyphens/>
              <w:spacing w:before="40" w:after="40"/>
              <w:jc w:val="center"/>
              <w:rPr>
                <w:szCs w:val="22"/>
              </w:rPr>
            </w:pPr>
            <w:r w:rsidRPr="00F26817">
              <w:rPr>
                <w:szCs w:val="22"/>
              </w:rPr>
              <w:t>Fuel Specifications</w:t>
            </w:r>
          </w:p>
        </w:tc>
      </w:tr>
      <w:tr w:rsidR="00F26817" w:rsidRPr="00F26817" w14:paraId="41D18607" w14:textId="77777777" w:rsidTr="008B5289">
        <w:trPr>
          <w:cantSplit/>
          <w:trHeight w:val="360"/>
        </w:trPr>
        <w:tc>
          <w:tcPr>
            <w:tcW w:w="1260" w:type="dxa"/>
            <w:vMerge w:val="restart"/>
            <w:tcBorders>
              <w:top w:val="single" w:sz="8" w:space="0" w:color="auto"/>
              <w:bottom w:val="single" w:sz="8" w:space="0" w:color="auto"/>
            </w:tcBorders>
            <w:shd w:val="clear" w:color="auto" w:fill="auto"/>
            <w:vAlign w:val="center"/>
          </w:tcPr>
          <w:p w14:paraId="7C266501" w14:textId="77777777" w:rsidR="00F26817" w:rsidRPr="00F26817" w:rsidRDefault="00F26817" w:rsidP="00F26817">
            <w:pPr>
              <w:suppressAutoHyphens/>
              <w:spacing w:before="40" w:after="40"/>
              <w:jc w:val="center"/>
              <w:rPr>
                <w:b/>
                <w:szCs w:val="22"/>
              </w:rPr>
            </w:pPr>
            <w:r w:rsidRPr="00F26817">
              <w:rPr>
                <w:b/>
                <w:szCs w:val="22"/>
              </w:rPr>
              <w:t>VOC</w:t>
            </w:r>
            <w:r w:rsidRPr="00F26817">
              <w:rPr>
                <w:b/>
                <w:szCs w:val="22"/>
                <w:vertAlign w:val="superscript"/>
              </w:rPr>
              <w:t xml:space="preserve"> e</w:t>
            </w:r>
          </w:p>
        </w:tc>
        <w:tc>
          <w:tcPr>
            <w:tcW w:w="915" w:type="dxa"/>
            <w:tcBorders>
              <w:top w:val="single" w:sz="8" w:space="0" w:color="auto"/>
              <w:bottom w:val="single" w:sz="8" w:space="0" w:color="auto"/>
            </w:tcBorders>
            <w:shd w:val="clear" w:color="auto" w:fill="auto"/>
            <w:vAlign w:val="center"/>
          </w:tcPr>
          <w:p w14:paraId="67FDC44F" w14:textId="77777777" w:rsidR="00F26817" w:rsidRPr="00F26817" w:rsidRDefault="00F26817" w:rsidP="00F26817">
            <w:pPr>
              <w:suppressAutoHyphens/>
              <w:spacing w:before="40" w:after="40"/>
              <w:jc w:val="center"/>
              <w:rPr>
                <w:szCs w:val="22"/>
              </w:rPr>
            </w:pPr>
            <w:r w:rsidRPr="00F26817">
              <w:rPr>
                <w:szCs w:val="22"/>
              </w:rPr>
              <w:t>Oil</w:t>
            </w:r>
          </w:p>
        </w:tc>
        <w:tc>
          <w:tcPr>
            <w:tcW w:w="3150" w:type="dxa"/>
            <w:tcBorders>
              <w:top w:val="single" w:sz="8" w:space="0" w:color="auto"/>
              <w:bottom w:val="single" w:sz="8" w:space="0" w:color="auto"/>
            </w:tcBorders>
            <w:shd w:val="clear" w:color="auto" w:fill="auto"/>
            <w:vAlign w:val="center"/>
          </w:tcPr>
          <w:p w14:paraId="0D60E8BD" w14:textId="77777777" w:rsidR="00F26817" w:rsidRPr="00F26817" w:rsidRDefault="00F26817" w:rsidP="00F26817">
            <w:pPr>
              <w:suppressAutoHyphens/>
              <w:spacing w:before="40" w:after="40"/>
              <w:jc w:val="center"/>
              <w:rPr>
                <w:szCs w:val="22"/>
              </w:rPr>
            </w:pPr>
            <w:r w:rsidRPr="00F26817">
              <w:rPr>
                <w:szCs w:val="22"/>
              </w:rPr>
              <w:t>Combined Cycle</w:t>
            </w:r>
          </w:p>
        </w:tc>
        <w:tc>
          <w:tcPr>
            <w:tcW w:w="1440" w:type="dxa"/>
            <w:tcBorders>
              <w:top w:val="single" w:sz="8" w:space="0" w:color="auto"/>
              <w:bottom w:val="single" w:sz="8" w:space="0" w:color="auto"/>
            </w:tcBorders>
            <w:shd w:val="clear" w:color="auto" w:fill="auto"/>
            <w:vAlign w:val="center"/>
          </w:tcPr>
          <w:p w14:paraId="59CD4C90" w14:textId="77777777" w:rsidR="00F26817" w:rsidRPr="00F26817" w:rsidRDefault="00F26817" w:rsidP="00F26817">
            <w:pPr>
              <w:suppressAutoHyphens/>
              <w:spacing w:before="40" w:after="40"/>
              <w:jc w:val="center"/>
              <w:rPr>
                <w:szCs w:val="22"/>
              </w:rPr>
            </w:pPr>
            <w:r w:rsidRPr="00F26817">
              <w:rPr>
                <w:szCs w:val="22"/>
              </w:rPr>
              <w:t>2.5</w:t>
            </w:r>
          </w:p>
        </w:tc>
        <w:tc>
          <w:tcPr>
            <w:tcW w:w="1170" w:type="dxa"/>
            <w:gridSpan w:val="2"/>
            <w:tcBorders>
              <w:top w:val="single" w:sz="8" w:space="0" w:color="auto"/>
              <w:bottom w:val="single" w:sz="8" w:space="0" w:color="auto"/>
            </w:tcBorders>
            <w:shd w:val="clear" w:color="auto" w:fill="auto"/>
            <w:vAlign w:val="center"/>
          </w:tcPr>
          <w:p w14:paraId="33FF091B" w14:textId="77777777" w:rsidR="00F26817" w:rsidRPr="00F26817" w:rsidRDefault="00F26817" w:rsidP="00F26817">
            <w:pPr>
              <w:suppressAutoHyphens/>
              <w:spacing w:before="40" w:after="40"/>
              <w:jc w:val="center"/>
              <w:rPr>
                <w:szCs w:val="22"/>
              </w:rPr>
            </w:pPr>
            <w:r w:rsidRPr="00F26817">
              <w:rPr>
                <w:szCs w:val="22"/>
              </w:rPr>
              <w:t>6.0</w:t>
            </w:r>
          </w:p>
        </w:tc>
        <w:tc>
          <w:tcPr>
            <w:tcW w:w="1515" w:type="dxa"/>
            <w:tcBorders>
              <w:top w:val="single" w:sz="8" w:space="0" w:color="auto"/>
              <w:bottom w:val="single" w:sz="8" w:space="0" w:color="auto"/>
            </w:tcBorders>
            <w:vAlign w:val="center"/>
          </w:tcPr>
          <w:p w14:paraId="5A0D0DA6" w14:textId="77777777" w:rsidR="00F26817" w:rsidRPr="00F26817" w:rsidRDefault="00F26817" w:rsidP="00F26817">
            <w:pPr>
              <w:suppressAutoHyphens/>
              <w:spacing w:before="40" w:after="40"/>
              <w:jc w:val="center"/>
              <w:rPr>
                <w:szCs w:val="22"/>
              </w:rPr>
            </w:pPr>
            <w:r w:rsidRPr="00F26817">
              <w:rPr>
                <w:szCs w:val="22"/>
              </w:rPr>
              <w:t>NA</w:t>
            </w:r>
          </w:p>
        </w:tc>
      </w:tr>
      <w:tr w:rsidR="00F26817" w:rsidRPr="00F26817" w14:paraId="45954310" w14:textId="77777777" w:rsidTr="00E80E7E">
        <w:trPr>
          <w:cantSplit/>
          <w:trHeight w:val="360"/>
        </w:trPr>
        <w:tc>
          <w:tcPr>
            <w:tcW w:w="1260" w:type="dxa"/>
            <w:vMerge/>
            <w:tcBorders>
              <w:top w:val="single" w:sz="8" w:space="0" w:color="auto"/>
              <w:bottom w:val="single" w:sz="8" w:space="0" w:color="auto"/>
            </w:tcBorders>
            <w:shd w:val="clear" w:color="auto" w:fill="auto"/>
            <w:vAlign w:val="center"/>
          </w:tcPr>
          <w:p w14:paraId="1E0F8387" w14:textId="77777777" w:rsidR="00F26817" w:rsidRPr="00F26817" w:rsidRDefault="00F26817" w:rsidP="00F26817">
            <w:pPr>
              <w:suppressAutoHyphens/>
              <w:spacing w:before="40" w:after="40"/>
              <w:jc w:val="center"/>
              <w:rPr>
                <w:b/>
                <w:szCs w:val="22"/>
              </w:rPr>
            </w:pPr>
          </w:p>
        </w:tc>
        <w:tc>
          <w:tcPr>
            <w:tcW w:w="915" w:type="dxa"/>
            <w:vMerge w:val="restart"/>
            <w:tcBorders>
              <w:top w:val="single" w:sz="8" w:space="0" w:color="auto"/>
              <w:bottom w:val="single" w:sz="8" w:space="0" w:color="auto"/>
            </w:tcBorders>
            <w:shd w:val="clear" w:color="auto" w:fill="auto"/>
            <w:vAlign w:val="center"/>
          </w:tcPr>
          <w:p w14:paraId="5435825F" w14:textId="77777777" w:rsidR="00F26817" w:rsidRPr="00F26817" w:rsidRDefault="00F26817" w:rsidP="00F26817">
            <w:pPr>
              <w:suppressAutoHyphens/>
              <w:spacing w:before="40" w:after="40"/>
              <w:jc w:val="center"/>
              <w:rPr>
                <w:szCs w:val="22"/>
              </w:rPr>
            </w:pPr>
            <w:r w:rsidRPr="00F26817">
              <w:rPr>
                <w:szCs w:val="22"/>
              </w:rPr>
              <w:t>Gas</w:t>
            </w:r>
          </w:p>
        </w:tc>
        <w:tc>
          <w:tcPr>
            <w:tcW w:w="3150" w:type="dxa"/>
            <w:tcBorders>
              <w:top w:val="single" w:sz="8" w:space="0" w:color="auto"/>
              <w:bottom w:val="single" w:sz="8" w:space="0" w:color="auto"/>
            </w:tcBorders>
            <w:shd w:val="clear" w:color="auto" w:fill="auto"/>
            <w:vAlign w:val="center"/>
          </w:tcPr>
          <w:p w14:paraId="23D7566C" w14:textId="77777777" w:rsidR="00F26817" w:rsidRPr="00F26817" w:rsidRDefault="00F26817" w:rsidP="00F26817">
            <w:pPr>
              <w:suppressAutoHyphens/>
              <w:spacing w:before="40" w:after="40"/>
              <w:jc w:val="center"/>
              <w:rPr>
                <w:szCs w:val="22"/>
              </w:rPr>
            </w:pPr>
            <w:r w:rsidRPr="00F26817">
              <w:rPr>
                <w:szCs w:val="22"/>
              </w:rPr>
              <w:t>Normal Combined Cycle</w:t>
            </w:r>
          </w:p>
        </w:tc>
        <w:tc>
          <w:tcPr>
            <w:tcW w:w="1440" w:type="dxa"/>
            <w:tcBorders>
              <w:top w:val="single" w:sz="8" w:space="0" w:color="auto"/>
              <w:bottom w:val="single" w:sz="8" w:space="0" w:color="auto"/>
            </w:tcBorders>
            <w:shd w:val="clear" w:color="auto" w:fill="auto"/>
            <w:vAlign w:val="center"/>
          </w:tcPr>
          <w:p w14:paraId="171B33E5" w14:textId="77777777" w:rsidR="00F26817" w:rsidRPr="00F26817" w:rsidRDefault="00F26817" w:rsidP="00F26817">
            <w:pPr>
              <w:suppressAutoHyphens/>
              <w:spacing w:before="40" w:after="40"/>
              <w:jc w:val="center"/>
              <w:rPr>
                <w:szCs w:val="22"/>
              </w:rPr>
            </w:pPr>
            <w:r w:rsidRPr="00F26817">
              <w:rPr>
                <w:szCs w:val="22"/>
              </w:rPr>
              <w:t>1.3</w:t>
            </w:r>
          </w:p>
        </w:tc>
        <w:tc>
          <w:tcPr>
            <w:tcW w:w="1170" w:type="dxa"/>
            <w:gridSpan w:val="2"/>
            <w:tcBorders>
              <w:top w:val="single" w:sz="8" w:space="0" w:color="auto"/>
              <w:bottom w:val="single" w:sz="8" w:space="0" w:color="auto"/>
            </w:tcBorders>
            <w:shd w:val="clear" w:color="auto" w:fill="auto"/>
            <w:vAlign w:val="center"/>
          </w:tcPr>
          <w:p w14:paraId="09A296AF" w14:textId="77777777" w:rsidR="00F26817" w:rsidRPr="00F26817" w:rsidRDefault="00F26817" w:rsidP="00F26817">
            <w:pPr>
              <w:suppressAutoHyphens/>
              <w:spacing w:before="40" w:after="40"/>
              <w:jc w:val="center"/>
              <w:rPr>
                <w:szCs w:val="22"/>
              </w:rPr>
            </w:pPr>
            <w:r w:rsidRPr="00F26817">
              <w:rPr>
                <w:szCs w:val="22"/>
              </w:rPr>
              <w:t>2.8</w:t>
            </w:r>
          </w:p>
        </w:tc>
        <w:tc>
          <w:tcPr>
            <w:tcW w:w="1515" w:type="dxa"/>
            <w:tcBorders>
              <w:top w:val="single" w:sz="8" w:space="0" w:color="auto"/>
              <w:bottom w:val="single" w:sz="8" w:space="0" w:color="auto"/>
            </w:tcBorders>
            <w:vAlign w:val="center"/>
          </w:tcPr>
          <w:p w14:paraId="3D7B7DC8" w14:textId="77777777" w:rsidR="00F26817" w:rsidRPr="00F26817" w:rsidRDefault="00F26817" w:rsidP="00F26817">
            <w:pPr>
              <w:suppressAutoHyphens/>
              <w:spacing w:before="40" w:after="40"/>
              <w:jc w:val="center"/>
              <w:rPr>
                <w:szCs w:val="22"/>
              </w:rPr>
            </w:pPr>
            <w:r w:rsidRPr="00F26817">
              <w:rPr>
                <w:szCs w:val="22"/>
              </w:rPr>
              <w:t>NA</w:t>
            </w:r>
          </w:p>
        </w:tc>
      </w:tr>
      <w:tr w:rsidR="00F26817" w:rsidRPr="00F26817" w14:paraId="5039790E" w14:textId="77777777" w:rsidTr="008B5289">
        <w:trPr>
          <w:cantSplit/>
          <w:trHeight w:val="360"/>
        </w:trPr>
        <w:tc>
          <w:tcPr>
            <w:tcW w:w="1260" w:type="dxa"/>
            <w:vMerge/>
            <w:tcBorders>
              <w:top w:val="single" w:sz="8" w:space="0" w:color="auto"/>
              <w:bottom w:val="single" w:sz="8" w:space="0" w:color="auto"/>
            </w:tcBorders>
            <w:shd w:val="clear" w:color="auto" w:fill="auto"/>
            <w:vAlign w:val="center"/>
          </w:tcPr>
          <w:p w14:paraId="0A3A9BC0" w14:textId="77777777" w:rsidR="00F26817" w:rsidRPr="00F26817" w:rsidRDefault="00F26817" w:rsidP="00F26817">
            <w:pPr>
              <w:suppressAutoHyphens/>
              <w:spacing w:before="40" w:after="40"/>
              <w:jc w:val="center"/>
              <w:rPr>
                <w:b/>
                <w:szCs w:val="22"/>
              </w:rPr>
            </w:pPr>
          </w:p>
        </w:tc>
        <w:tc>
          <w:tcPr>
            <w:tcW w:w="915" w:type="dxa"/>
            <w:vMerge/>
            <w:tcBorders>
              <w:top w:val="single" w:sz="8" w:space="0" w:color="auto"/>
              <w:bottom w:val="single" w:sz="8" w:space="0" w:color="auto"/>
            </w:tcBorders>
            <w:shd w:val="clear" w:color="auto" w:fill="auto"/>
            <w:vAlign w:val="center"/>
          </w:tcPr>
          <w:p w14:paraId="0575CD8D" w14:textId="77777777" w:rsidR="00F26817" w:rsidRPr="00F26817" w:rsidRDefault="00F26817" w:rsidP="00F26817">
            <w:pPr>
              <w:suppressAutoHyphens/>
              <w:spacing w:before="40" w:after="40"/>
              <w:jc w:val="center"/>
              <w:rPr>
                <w:szCs w:val="22"/>
              </w:rPr>
            </w:pPr>
          </w:p>
        </w:tc>
        <w:tc>
          <w:tcPr>
            <w:tcW w:w="3150" w:type="dxa"/>
            <w:tcBorders>
              <w:top w:val="single" w:sz="8" w:space="0" w:color="auto"/>
              <w:bottom w:val="single" w:sz="8" w:space="0" w:color="auto"/>
            </w:tcBorders>
            <w:shd w:val="clear" w:color="auto" w:fill="auto"/>
            <w:vAlign w:val="center"/>
          </w:tcPr>
          <w:p w14:paraId="135B4190" w14:textId="77777777" w:rsidR="00F26817" w:rsidRPr="00F26817" w:rsidRDefault="00F26817" w:rsidP="00F26817">
            <w:pPr>
              <w:suppressAutoHyphens/>
              <w:spacing w:before="40" w:after="40"/>
              <w:jc w:val="center"/>
              <w:rPr>
                <w:szCs w:val="22"/>
              </w:rPr>
            </w:pPr>
            <w:r w:rsidRPr="00F26817">
              <w:rPr>
                <w:szCs w:val="22"/>
              </w:rPr>
              <w:t>Combined Cycle, w/DB and/or PA</w:t>
            </w:r>
          </w:p>
        </w:tc>
        <w:tc>
          <w:tcPr>
            <w:tcW w:w="1440" w:type="dxa"/>
            <w:tcBorders>
              <w:top w:val="single" w:sz="8" w:space="0" w:color="auto"/>
              <w:bottom w:val="single" w:sz="8" w:space="0" w:color="auto"/>
            </w:tcBorders>
            <w:shd w:val="clear" w:color="auto" w:fill="auto"/>
            <w:vAlign w:val="center"/>
          </w:tcPr>
          <w:p w14:paraId="2EEEF2A7" w14:textId="77777777" w:rsidR="00F26817" w:rsidRPr="00F26817" w:rsidRDefault="00F26817" w:rsidP="00F26817">
            <w:pPr>
              <w:suppressAutoHyphens/>
              <w:spacing w:before="40" w:after="40"/>
              <w:jc w:val="center"/>
              <w:rPr>
                <w:szCs w:val="22"/>
              </w:rPr>
            </w:pPr>
            <w:r w:rsidRPr="00F26817">
              <w:rPr>
                <w:szCs w:val="22"/>
              </w:rPr>
              <w:t>4.0</w:t>
            </w:r>
          </w:p>
        </w:tc>
        <w:tc>
          <w:tcPr>
            <w:tcW w:w="1170" w:type="dxa"/>
            <w:gridSpan w:val="2"/>
            <w:tcBorders>
              <w:top w:val="single" w:sz="8" w:space="0" w:color="auto"/>
              <w:bottom w:val="single" w:sz="8" w:space="0" w:color="auto"/>
            </w:tcBorders>
            <w:shd w:val="clear" w:color="auto" w:fill="auto"/>
            <w:vAlign w:val="center"/>
          </w:tcPr>
          <w:p w14:paraId="1FDFB322" w14:textId="77777777" w:rsidR="00F26817" w:rsidRPr="00F26817" w:rsidRDefault="00F26817" w:rsidP="00F26817">
            <w:pPr>
              <w:suppressAutoHyphens/>
              <w:spacing w:before="40" w:after="40"/>
              <w:jc w:val="center"/>
              <w:rPr>
                <w:szCs w:val="22"/>
              </w:rPr>
            </w:pPr>
            <w:r w:rsidRPr="00F26817">
              <w:rPr>
                <w:szCs w:val="22"/>
              </w:rPr>
              <w:t>10.5</w:t>
            </w:r>
          </w:p>
        </w:tc>
        <w:tc>
          <w:tcPr>
            <w:tcW w:w="1515" w:type="dxa"/>
            <w:tcBorders>
              <w:top w:val="single" w:sz="8" w:space="0" w:color="auto"/>
              <w:bottom w:val="single" w:sz="8" w:space="0" w:color="auto"/>
            </w:tcBorders>
            <w:vAlign w:val="center"/>
          </w:tcPr>
          <w:p w14:paraId="63E7D73F" w14:textId="77777777" w:rsidR="00F26817" w:rsidRPr="00F26817" w:rsidRDefault="00F26817" w:rsidP="00F26817">
            <w:pPr>
              <w:suppressAutoHyphens/>
              <w:spacing w:before="40" w:after="40"/>
              <w:jc w:val="center"/>
              <w:rPr>
                <w:szCs w:val="22"/>
              </w:rPr>
            </w:pPr>
            <w:r w:rsidRPr="00F26817">
              <w:rPr>
                <w:szCs w:val="22"/>
              </w:rPr>
              <w:t>NA</w:t>
            </w:r>
          </w:p>
        </w:tc>
      </w:tr>
      <w:tr w:rsidR="00F26817" w:rsidRPr="00F26817" w14:paraId="71D631D2" w14:textId="77777777" w:rsidTr="008B5289">
        <w:trPr>
          <w:cantSplit/>
          <w:trHeight w:val="475"/>
        </w:trPr>
        <w:tc>
          <w:tcPr>
            <w:tcW w:w="1260" w:type="dxa"/>
            <w:tcBorders>
              <w:top w:val="single" w:sz="8" w:space="0" w:color="auto"/>
              <w:bottom w:val="single" w:sz="12" w:space="0" w:color="auto"/>
            </w:tcBorders>
            <w:shd w:val="clear" w:color="auto" w:fill="auto"/>
            <w:vAlign w:val="center"/>
          </w:tcPr>
          <w:p w14:paraId="47E600E0" w14:textId="77777777" w:rsidR="00F26817" w:rsidRPr="00F26817" w:rsidRDefault="00F26817" w:rsidP="00F26817">
            <w:pPr>
              <w:suppressAutoHyphens/>
              <w:spacing w:before="40" w:after="40"/>
              <w:jc w:val="center"/>
              <w:rPr>
                <w:b/>
                <w:szCs w:val="22"/>
              </w:rPr>
            </w:pPr>
            <w:r w:rsidRPr="00F26817">
              <w:rPr>
                <w:b/>
                <w:szCs w:val="22"/>
              </w:rPr>
              <w:t>Ammonia</w:t>
            </w:r>
            <w:r w:rsidRPr="00F26817">
              <w:rPr>
                <w:b/>
                <w:szCs w:val="22"/>
                <w:vertAlign w:val="superscript"/>
              </w:rPr>
              <w:t xml:space="preserve"> f</w:t>
            </w:r>
          </w:p>
        </w:tc>
        <w:tc>
          <w:tcPr>
            <w:tcW w:w="915" w:type="dxa"/>
            <w:tcBorders>
              <w:top w:val="single" w:sz="8" w:space="0" w:color="auto"/>
              <w:bottom w:val="single" w:sz="12" w:space="0" w:color="auto"/>
            </w:tcBorders>
            <w:shd w:val="clear" w:color="auto" w:fill="auto"/>
            <w:vAlign w:val="center"/>
          </w:tcPr>
          <w:p w14:paraId="5DBC75B4" w14:textId="77777777" w:rsidR="00F26817" w:rsidRPr="00F26817" w:rsidRDefault="00F26817" w:rsidP="00F26817">
            <w:pPr>
              <w:suppressAutoHyphens/>
              <w:spacing w:before="40" w:after="40"/>
              <w:jc w:val="center"/>
              <w:rPr>
                <w:szCs w:val="22"/>
              </w:rPr>
            </w:pPr>
            <w:r w:rsidRPr="00F26817">
              <w:rPr>
                <w:szCs w:val="22"/>
              </w:rPr>
              <w:t>Oil/Gas</w:t>
            </w:r>
          </w:p>
        </w:tc>
        <w:tc>
          <w:tcPr>
            <w:tcW w:w="3150" w:type="dxa"/>
            <w:tcBorders>
              <w:top w:val="single" w:sz="8" w:space="0" w:color="auto"/>
              <w:bottom w:val="single" w:sz="12" w:space="0" w:color="auto"/>
            </w:tcBorders>
            <w:shd w:val="clear" w:color="auto" w:fill="auto"/>
            <w:vAlign w:val="center"/>
          </w:tcPr>
          <w:p w14:paraId="21FC5C8D" w14:textId="77777777" w:rsidR="00F26817" w:rsidRPr="00F26817" w:rsidRDefault="00F26817" w:rsidP="00F26817">
            <w:pPr>
              <w:suppressAutoHyphens/>
              <w:spacing w:before="40" w:after="40"/>
              <w:jc w:val="center"/>
              <w:rPr>
                <w:szCs w:val="22"/>
              </w:rPr>
            </w:pPr>
            <w:r w:rsidRPr="00F26817">
              <w:rPr>
                <w:szCs w:val="22"/>
              </w:rPr>
              <w:t>Combined Cycle w/SCR</w:t>
            </w:r>
          </w:p>
        </w:tc>
        <w:tc>
          <w:tcPr>
            <w:tcW w:w="1440" w:type="dxa"/>
            <w:tcBorders>
              <w:top w:val="single" w:sz="8" w:space="0" w:color="auto"/>
              <w:bottom w:val="single" w:sz="12" w:space="0" w:color="auto"/>
            </w:tcBorders>
            <w:shd w:val="clear" w:color="auto" w:fill="auto"/>
            <w:vAlign w:val="center"/>
          </w:tcPr>
          <w:p w14:paraId="69773EC0" w14:textId="77777777" w:rsidR="00F26817" w:rsidRPr="00F26817" w:rsidRDefault="00F26817" w:rsidP="00F26817">
            <w:pPr>
              <w:suppressAutoHyphens/>
              <w:spacing w:before="40" w:after="40"/>
              <w:jc w:val="center"/>
              <w:rPr>
                <w:szCs w:val="22"/>
              </w:rPr>
            </w:pPr>
            <w:r w:rsidRPr="00F26817">
              <w:rPr>
                <w:szCs w:val="22"/>
              </w:rPr>
              <w:t>5</w:t>
            </w:r>
          </w:p>
        </w:tc>
        <w:tc>
          <w:tcPr>
            <w:tcW w:w="1170" w:type="dxa"/>
            <w:gridSpan w:val="2"/>
            <w:tcBorders>
              <w:top w:val="single" w:sz="8" w:space="0" w:color="auto"/>
              <w:bottom w:val="single" w:sz="12" w:space="0" w:color="auto"/>
            </w:tcBorders>
            <w:shd w:val="clear" w:color="auto" w:fill="auto"/>
            <w:vAlign w:val="center"/>
          </w:tcPr>
          <w:p w14:paraId="1EAF2810" w14:textId="77777777" w:rsidR="00F26817" w:rsidRPr="00F26817" w:rsidRDefault="00F26817" w:rsidP="00F26817">
            <w:pPr>
              <w:suppressAutoHyphens/>
              <w:spacing w:before="40" w:after="40"/>
              <w:jc w:val="center"/>
              <w:rPr>
                <w:szCs w:val="22"/>
              </w:rPr>
            </w:pPr>
            <w:r w:rsidRPr="00F26817">
              <w:rPr>
                <w:szCs w:val="22"/>
              </w:rPr>
              <w:t>NA</w:t>
            </w:r>
          </w:p>
        </w:tc>
        <w:tc>
          <w:tcPr>
            <w:tcW w:w="1515" w:type="dxa"/>
            <w:tcBorders>
              <w:top w:val="single" w:sz="8" w:space="0" w:color="auto"/>
              <w:bottom w:val="single" w:sz="12" w:space="0" w:color="auto"/>
            </w:tcBorders>
            <w:vAlign w:val="center"/>
          </w:tcPr>
          <w:p w14:paraId="40A0BF43" w14:textId="77777777" w:rsidR="00F26817" w:rsidRPr="00F26817" w:rsidRDefault="00F26817" w:rsidP="00F26817">
            <w:pPr>
              <w:suppressAutoHyphens/>
              <w:spacing w:before="40" w:after="40"/>
              <w:jc w:val="center"/>
              <w:rPr>
                <w:szCs w:val="22"/>
              </w:rPr>
            </w:pPr>
            <w:r w:rsidRPr="00F26817">
              <w:rPr>
                <w:szCs w:val="22"/>
              </w:rPr>
              <w:t>NA</w:t>
            </w:r>
          </w:p>
        </w:tc>
      </w:tr>
    </w:tbl>
    <w:p w14:paraId="77BEF5D0" w14:textId="41E2355C" w:rsidR="00F26817" w:rsidRPr="008C0646" w:rsidRDefault="00F26817" w:rsidP="00F26817">
      <w:pPr>
        <w:numPr>
          <w:ilvl w:val="0"/>
          <w:numId w:val="99"/>
        </w:numPr>
        <w:suppressAutoHyphens/>
        <w:spacing w:before="120"/>
        <w:jc w:val="both"/>
        <w:rPr>
          <w:szCs w:val="22"/>
        </w:rPr>
      </w:pPr>
      <w:bookmarkStart w:id="176" w:name="_Hlk508875365"/>
      <w:bookmarkEnd w:id="173"/>
      <w:bookmarkEnd w:id="174"/>
      <w:r w:rsidRPr="00F26817">
        <w:t xml:space="preserve">Compliance with the CO </w:t>
      </w:r>
      <w:r w:rsidRPr="008C0646">
        <w:t xml:space="preserve">standards shall either be demonstrated by stack tests using EPA Method 10 or based on data collected by the optional CEMS.  If a CEMS is used, compliance with the 24-hour CO CEMS standards shall be determined separately for each method of operation based on the hours of operation for each method.  </w:t>
      </w:r>
      <w:r w:rsidRPr="008C0646">
        <w:rPr>
          <w:i/>
          <w:iCs/>
        </w:rPr>
        <w:t>{Permitting Note:  A 24-hour compliance average may be based on as little as 1-hour of CEMS data or as much as 24-hours of CEMS data.}</w:t>
      </w:r>
    </w:p>
    <w:bookmarkEnd w:id="176"/>
    <w:p w14:paraId="506A8F5A" w14:textId="77777777" w:rsidR="00F26817" w:rsidRPr="008C0646" w:rsidRDefault="00F26817" w:rsidP="00F26817">
      <w:pPr>
        <w:numPr>
          <w:ilvl w:val="0"/>
          <w:numId w:val="99"/>
        </w:numPr>
        <w:suppressAutoHyphens/>
      </w:pPr>
      <w:r w:rsidRPr="002508AD">
        <w:t>Compliance with the NO</w:t>
      </w:r>
      <w:r w:rsidRPr="002508AD">
        <w:rPr>
          <w:vertAlign w:val="subscript"/>
        </w:rPr>
        <w:t>X</w:t>
      </w:r>
      <w:r w:rsidRPr="002508AD">
        <w:t xml:space="preserve"> standards shall be demonstrated based on data collected by the required CEMS.  Compliance may also be </w:t>
      </w:r>
      <w:r w:rsidRPr="008C0646">
        <w:t>determined by EPA Method 7E or 20.  NO</w:t>
      </w:r>
      <w:r w:rsidRPr="008C0646">
        <w:rPr>
          <w:vertAlign w:val="subscript"/>
        </w:rPr>
        <w:t xml:space="preserve">X </w:t>
      </w:r>
      <w:r w:rsidRPr="008C0646">
        <w:t>mass emission rates are defined as oxides of nitrogen expressed as NO</w:t>
      </w:r>
      <w:r w:rsidRPr="008C0646">
        <w:rPr>
          <w:vertAlign w:val="subscript"/>
        </w:rPr>
        <w:t>2</w:t>
      </w:r>
      <w:r w:rsidRPr="008C0646">
        <w:t xml:space="preserve">.  </w:t>
      </w:r>
      <w:r w:rsidRPr="008C0646">
        <w:rPr>
          <w:i/>
        </w:rPr>
        <w:t>{</w:t>
      </w:r>
      <w:r w:rsidRPr="008C0646">
        <w:rPr>
          <w:i/>
          <w:iCs/>
        </w:rPr>
        <w:t xml:space="preserve">Permitting </w:t>
      </w:r>
      <w:r w:rsidRPr="008C0646">
        <w:rPr>
          <w:i/>
        </w:rPr>
        <w:t>Note:  A 24-hour compliance average may be based on as little as 1-hour of CEMS data or as much as 24-hours of CEMS data.}</w:t>
      </w:r>
    </w:p>
    <w:p w14:paraId="52ECDF9B" w14:textId="6F09E3E5" w:rsidR="00E80E7E" w:rsidRPr="008C0646" w:rsidRDefault="00E80E7E" w:rsidP="00E80E7E">
      <w:pPr>
        <w:numPr>
          <w:ilvl w:val="0"/>
          <w:numId w:val="99"/>
        </w:numPr>
        <w:suppressAutoHyphens/>
      </w:pPr>
      <w:r w:rsidRPr="008C0646">
        <w:t xml:space="preserve">The fuel specifications established in Specific Condition </w:t>
      </w:r>
      <w:r w:rsidR="00175F18" w:rsidRPr="008C0646">
        <w:rPr>
          <w:b/>
        </w:rPr>
        <w:fldChar w:fldCharType="begin"/>
      </w:r>
      <w:r w:rsidR="00175F18" w:rsidRPr="008C0646">
        <w:rPr>
          <w:b/>
        </w:rPr>
        <w:instrText xml:space="preserve"> REF _Ref504133634 \r \h  \* MERGEFORMAT </w:instrText>
      </w:r>
      <w:r w:rsidR="00175F18" w:rsidRPr="008C0646">
        <w:rPr>
          <w:b/>
        </w:rPr>
      </w:r>
      <w:r w:rsidR="00175F18" w:rsidRPr="008C0646">
        <w:rPr>
          <w:b/>
        </w:rPr>
        <w:fldChar w:fldCharType="separate"/>
      </w:r>
      <w:r w:rsidR="00D31800">
        <w:rPr>
          <w:b/>
        </w:rPr>
        <w:t>D.3</w:t>
      </w:r>
      <w:r w:rsidR="00175F18" w:rsidRPr="008C0646">
        <w:rPr>
          <w:b/>
        </w:rPr>
        <w:fldChar w:fldCharType="end"/>
      </w:r>
      <w:r w:rsidRPr="008C0646">
        <w:t xml:space="preserve"> of this section, combined with the efficient combustion design and operation of each gas turbine represents the Best Available Control Technology (BACT) determination for PM/PM</w:t>
      </w:r>
      <w:r w:rsidRPr="008C0646">
        <w:rPr>
          <w:vertAlign w:val="subscript"/>
        </w:rPr>
        <w:t>10</w:t>
      </w:r>
      <w:r w:rsidRPr="008C0646">
        <w:t xml:space="preserve"> emissions.  Compliance with the fuel specifications, CO standards, and visible emissions standards shall serve as indicators of good combustion.  Compliance with the fuel specifications shall be demonstrated by keeping records of the fuel sulfur content.  Compliance with the visible emissions standard shall be demonstrated by conducting tests in accordance with EPA Method 9.  </w:t>
      </w:r>
      <w:r w:rsidRPr="008C0646">
        <w:rPr>
          <w:i/>
          <w:iCs/>
        </w:rPr>
        <w:t>{Permitting Note:  PM</w:t>
      </w:r>
      <w:r w:rsidRPr="008C0646">
        <w:rPr>
          <w:i/>
          <w:iCs/>
          <w:vertAlign w:val="subscript"/>
        </w:rPr>
        <w:t>10</w:t>
      </w:r>
      <w:r w:rsidRPr="008C0646">
        <w:rPr>
          <w:i/>
          <w:iCs/>
        </w:rPr>
        <w:t xml:space="preserve"> emissions for gas firing are estimated at 11 lb/hour for combined cycle operation and 17 lb/hour for combined cycle operation with duct burning.  PM10 emissions for oil firing are estimated at 37 lb/hour for combined cycle operation.}</w:t>
      </w:r>
    </w:p>
    <w:p w14:paraId="31C66754" w14:textId="49DD305B" w:rsidR="00E80E7E" w:rsidRPr="008C0646" w:rsidRDefault="00E80E7E" w:rsidP="00E80E7E">
      <w:pPr>
        <w:numPr>
          <w:ilvl w:val="0"/>
          <w:numId w:val="99"/>
        </w:numPr>
        <w:suppressAutoHyphens/>
      </w:pPr>
      <w:bookmarkStart w:id="177" w:name="_Hlk523322680"/>
      <w:r w:rsidRPr="002508AD">
        <w:t xml:space="preserve">The fuel sulfur specifications in Specific Condition </w:t>
      </w:r>
      <w:r w:rsidR="00175F18" w:rsidRPr="00175F18">
        <w:rPr>
          <w:b/>
        </w:rPr>
        <w:fldChar w:fldCharType="begin"/>
      </w:r>
      <w:r w:rsidR="00175F18" w:rsidRPr="00175F18">
        <w:rPr>
          <w:b/>
        </w:rPr>
        <w:instrText xml:space="preserve"> REF _Ref504133634 \r \h  \* MERGEFORMAT </w:instrText>
      </w:r>
      <w:r w:rsidR="00175F18" w:rsidRPr="00175F18">
        <w:rPr>
          <w:b/>
        </w:rPr>
      </w:r>
      <w:r w:rsidR="00175F18" w:rsidRPr="00175F18">
        <w:rPr>
          <w:b/>
        </w:rPr>
        <w:fldChar w:fldCharType="separate"/>
      </w:r>
      <w:r w:rsidR="00D31800">
        <w:rPr>
          <w:b/>
        </w:rPr>
        <w:t>D.3</w:t>
      </w:r>
      <w:r w:rsidR="00175F18" w:rsidRPr="00175F18">
        <w:rPr>
          <w:b/>
        </w:rPr>
        <w:fldChar w:fldCharType="end"/>
      </w:r>
      <w:r w:rsidRPr="002508AD">
        <w:t xml:space="preserve"> of this section effectively limit the potential emissions of SAM and SO</w:t>
      </w:r>
      <w:r w:rsidRPr="002508AD">
        <w:rPr>
          <w:vertAlign w:val="subscript"/>
        </w:rPr>
        <w:t>2</w:t>
      </w:r>
      <w:r w:rsidRPr="002508AD">
        <w:t xml:space="preserve"> from the gas </w:t>
      </w:r>
      <w:r w:rsidRPr="008C0646">
        <w:t xml:space="preserve">turbines and represent the Best Available Control Technology (BACT) determination for these pollutants.  Compliance with the fuel sulfur specifications shall be determined by the requirements in Specific Condition </w:t>
      </w:r>
      <w:r w:rsidR="00175F18" w:rsidRPr="008C0646">
        <w:rPr>
          <w:b/>
        </w:rPr>
        <w:fldChar w:fldCharType="begin"/>
      </w:r>
      <w:r w:rsidR="00175F18" w:rsidRPr="008C0646">
        <w:rPr>
          <w:b/>
        </w:rPr>
        <w:instrText xml:space="preserve"> REF _Ref504134046 \r \h  \* MERGEFORMAT </w:instrText>
      </w:r>
      <w:r w:rsidR="00175F18" w:rsidRPr="008C0646">
        <w:rPr>
          <w:b/>
        </w:rPr>
      </w:r>
      <w:r w:rsidR="00175F18" w:rsidRPr="008C0646">
        <w:rPr>
          <w:b/>
        </w:rPr>
        <w:fldChar w:fldCharType="separate"/>
      </w:r>
      <w:r w:rsidR="00D31800">
        <w:rPr>
          <w:b/>
        </w:rPr>
        <w:t>D.34</w:t>
      </w:r>
      <w:r w:rsidR="00175F18" w:rsidRPr="008C0646">
        <w:rPr>
          <w:b/>
        </w:rPr>
        <w:fldChar w:fldCharType="end"/>
      </w:r>
      <w:r w:rsidRPr="008C0646">
        <w:t xml:space="preserve">.  </w:t>
      </w:r>
      <w:r w:rsidRPr="008C0646">
        <w:rPr>
          <w:i/>
        </w:rPr>
        <w:t>{</w:t>
      </w:r>
      <w:r w:rsidRPr="008C0646">
        <w:rPr>
          <w:i/>
          <w:iCs/>
        </w:rPr>
        <w:t xml:space="preserve">Permitting </w:t>
      </w:r>
      <w:r w:rsidRPr="008C0646">
        <w:rPr>
          <w:i/>
        </w:rPr>
        <w:t>Note:  SO</w:t>
      </w:r>
      <w:r w:rsidRPr="008C0646">
        <w:rPr>
          <w:i/>
          <w:vertAlign w:val="subscript"/>
        </w:rPr>
        <w:t>2</w:t>
      </w:r>
      <w:r w:rsidRPr="008C0646">
        <w:rPr>
          <w:i/>
        </w:rPr>
        <w:t xml:space="preserve"> emissions for gas firing are estimated at 9.8 lb/hour for combined cycle operation and 12.8 lb/hour for combined cycle operation with duct burning.  SO</w:t>
      </w:r>
      <w:r w:rsidRPr="008C0646">
        <w:rPr>
          <w:i/>
          <w:vertAlign w:val="subscript"/>
        </w:rPr>
        <w:t>2</w:t>
      </w:r>
      <w:r w:rsidRPr="008C0646">
        <w:rPr>
          <w:i/>
        </w:rPr>
        <w:t xml:space="preserve"> emissions for oil firing are estimated at 99 lb/hour for combined cycle operation.  SAM emissions are estimated to be less than 10% of the SO</w:t>
      </w:r>
      <w:r w:rsidRPr="008C0646">
        <w:rPr>
          <w:i/>
          <w:vertAlign w:val="subscript"/>
        </w:rPr>
        <w:t>2</w:t>
      </w:r>
      <w:r w:rsidRPr="008C0646">
        <w:rPr>
          <w:i/>
        </w:rPr>
        <w:t xml:space="preserve"> emissions</w:t>
      </w:r>
      <w:r w:rsidRPr="008C0646">
        <w:t>.}</w:t>
      </w:r>
    </w:p>
    <w:p w14:paraId="206873A4" w14:textId="77777777" w:rsidR="00E80E7E" w:rsidRPr="008C0646" w:rsidRDefault="00E80E7E" w:rsidP="00E80E7E">
      <w:pPr>
        <w:numPr>
          <w:ilvl w:val="0"/>
          <w:numId w:val="99"/>
        </w:numPr>
        <w:suppressAutoHyphens/>
        <w:rPr>
          <w:szCs w:val="22"/>
        </w:rPr>
      </w:pPr>
      <w:bookmarkStart w:id="178" w:name="_Hlk504134660"/>
      <w:bookmarkEnd w:id="177"/>
      <w:r w:rsidRPr="008C0646">
        <w:rPr>
          <w:szCs w:val="22"/>
        </w:rPr>
        <w:t>Compliance with the VOC standards shall be demonstrated by conducting tests in accordance with EPA Method 25A.  Optionally, EPA Method 18 may also be performed to deduct emissions of methane and ethane.  The emission standards are based on VOC measured as methane.</w:t>
      </w:r>
    </w:p>
    <w:p w14:paraId="5D351370" w14:textId="438826FD" w:rsidR="00E80E7E" w:rsidRPr="000135AC" w:rsidRDefault="00E80E7E" w:rsidP="00E80E7E">
      <w:pPr>
        <w:numPr>
          <w:ilvl w:val="0"/>
          <w:numId w:val="99"/>
        </w:numPr>
        <w:suppressAutoHyphens/>
        <w:rPr>
          <w:szCs w:val="22"/>
        </w:rPr>
      </w:pPr>
      <w:bookmarkStart w:id="179" w:name="_Hlk523322698"/>
      <w:bookmarkStart w:id="180" w:name="_Hlk504134694"/>
      <w:bookmarkEnd w:id="178"/>
      <w:r w:rsidRPr="008C0646">
        <w:rPr>
          <w:szCs w:val="22"/>
        </w:rPr>
        <w:t xml:space="preserve">Subject to the requirements of Specific Condition </w:t>
      </w:r>
      <w:r w:rsidR="00175F18" w:rsidRPr="008C0646">
        <w:rPr>
          <w:b/>
          <w:szCs w:val="22"/>
        </w:rPr>
        <w:fldChar w:fldCharType="begin"/>
      </w:r>
      <w:r w:rsidR="00175F18" w:rsidRPr="008C0646">
        <w:rPr>
          <w:b/>
          <w:szCs w:val="22"/>
        </w:rPr>
        <w:instrText xml:space="preserve"> REF _Ref504134163 \r \h  \* MERGEFORMAT </w:instrText>
      </w:r>
      <w:r w:rsidR="00175F18" w:rsidRPr="008C0646">
        <w:rPr>
          <w:b/>
          <w:szCs w:val="22"/>
        </w:rPr>
      </w:r>
      <w:r w:rsidR="00175F18" w:rsidRPr="008C0646">
        <w:rPr>
          <w:b/>
          <w:szCs w:val="22"/>
        </w:rPr>
        <w:fldChar w:fldCharType="separate"/>
      </w:r>
      <w:r w:rsidR="00D31800">
        <w:rPr>
          <w:b/>
          <w:szCs w:val="22"/>
        </w:rPr>
        <w:t>D.30</w:t>
      </w:r>
      <w:r w:rsidR="00175F18" w:rsidRPr="008C0646">
        <w:rPr>
          <w:b/>
          <w:szCs w:val="22"/>
        </w:rPr>
        <w:fldChar w:fldCharType="end"/>
      </w:r>
      <w:r w:rsidRPr="008C0646">
        <w:rPr>
          <w:szCs w:val="22"/>
        </w:rPr>
        <w:t>.</w:t>
      </w:r>
      <w:r w:rsidRPr="008C0646">
        <w:fldChar w:fldCharType="begin"/>
      </w:r>
      <w:r w:rsidRPr="008C0646">
        <w:instrText xml:space="preserve"> REF slip \h  \* MERGEFORMAT </w:instrText>
      </w:r>
      <w:r w:rsidRPr="008C0646">
        <w:fldChar w:fldCharType="end"/>
      </w:r>
      <w:r w:rsidRPr="008C0646">
        <w:rPr>
          <w:szCs w:val="22"/>
        </w:rPr>
        <w:t xml:space="preserve"> of this section, each SCR system shall be designed and operated for an ammonia slip target of less than</w:t>
      </w:r>
      <w:r w:rsidRPr="000135AC">
        <w:rPr>
          <w:szCs w:val="22"/>
        </w:rPr>
        <w:t xml:space="preserve"> 5 ppmvd corrected to 15% oxygen based on the average of three test runs.  Compliance with the ammonia slip standard shall be demonstrated by conducting tests in accordance with EPA Method CTC-027.</w:t>
      </w:r>
    </w:p>
    <w:p w14:paraId="6533B6C2" w14:textId="77777777" w:rsidR="00E80E7E" w:rsidRPr="00E80E7E" w:rsidRDefault="00E80E7E" w:rsidP="00E80E7E">
      <w:pPr>
        <w:ind w:left="360"/>
        <w:rPr>
          <w:i/>
          <w:iCs/>
          <w:szCs w:val="22"/>
        </w:rPr>
      </w:pPr>
      <w:bookmarkStart w:id="181" w:name="_Hlk504134963"/>
      <w:bookmarkEnd w:id="179"/>
      <w:bookmarkEnd w:id="180"/>
      <w:r w:rsidRPr="00E80E7E">
        <w:rPr>
          <w:i/>
          <w:iCs/>
          <w:szCs w:val="22"/>
        </w:rPr>
        <w:t>{Permitting Notes:  “DB” means duct burning.  “PA” means power augmentation.  “SCR” means selective catalytic reduction.  “NA” means not applicable.  The mass emission rate standards are based on a turbine inlet condition of 59 °F and may be adjusted to actual test conditions in accordance with the performance curves and/or equations on file with the Department.</w:t>
      </w:r>
      <w:r w:rsidRPr="00E80E7E">
        <w:rPr>
          <w:i/>
          <w:szCs w:val="22"/>
        </w:rPr>
        <w:t xml:space="preserve">  These emissions units have not to date been operated in the high power modes (HPM) of peaking or power augmentation; therefore, a compliance plan is included to cover initial testing requirements for these HPM for emissions of CO and NO</w:t>
      </w:r>
      <w:r w:rsidRPr="00E80E7E">
        <w:rPr>
          <w:i/>
          <w:szCs w:val="22"/>
          <w:vertAlign w:val="subscript"/>
        </w:rPr>
        <w:t>X</w:t>
      </w:r>
      <w:r w:rsidRPr="00E80E7E">
        <w:rPr>
          <w:i/>
          <w:szCs w:val="22"/>
        </w:rPr>
        <w:t>.  See Appendix CP</w:t>
      </w:r>
      <w:r w:rsidRPr="00E80E7E">
        <w:rPr>
          <w:i/>
          <w:iCs/>
          <w:szCs w:val="22"/>
        </w:rPr>
        <w:t>}</w:t>
      </w:r>
    </w:p>
    <w:p w14:paraId="3AEED37F" w14:textId="0EB78FE1" w:rsidR="00175F18" w:rsidRPr="008C0646" w:rsidRDefault="00175F18" w:rsidP="008C0646">
      <w:pPr>
        <w:tabs>
          <w:tab w:val="left" w:pos="360"/>
        </w:tabs>
        <w:spacing w:after="120"/>
        <w:ind w:left="360"/>
        <w:rPr>
          <w:szCs w:val="22"/>
        </w:rPr>
      </w:pPr>
      <w:bookmarkStart w:id="182" w:name="_Hlk520463215"/>
      <w:bookmarkEnd w:id="171"/>
      <w:bookmarkEnd w:id="175"/>
      <w:bookmarkEnd w:id="181"/>
      <w:r w:rsidRPr="008C0646">
        <w:rPr>
          <w:szCs w:val="22"/>
        </w:rPr>
        <w:t>[Rule 62-212.400(BACT), F.A.C.; and, Permit Nos. 0850001-010-AC/ PSD-FL-327 &amp; 0850001-041-AC/PSD-FL-146J &amp; 327G]</w:t>
      </w:r>
    </w:p>
    <w:p w14:paraId="360E6600" w14:textId="680F6223" w:rsidR="00E03CD8" w:rsidRPr="008C0646" w:rsidRDefault="00F802B3" w:rsidP="00061DE9">
      <w:pPr>
        <w:pStyle w:val="ListParagraph"/>
        <w:numPr>
          <w:ilvl w:val="0"/>
          <w:numId w:val="22"/>
        </w:numPr>
        <w:ind w:left="360"/>
        <w:contextualSpacing w:val="0"/>
        <w:rPr>
          <w:szCs w:val="22"/>
        </w:rPr>
      </w:pPr>
      <w:bookmarkStart w:id="183" w:name="_Ref520451732"/>
      <w:bookmarkStart w:id="184" w:name="_Hlk523402251"/>
      <w:bookmarkStart w:id="185" w:name="_Hlk520463477"/>
      <w:bookmarkEnd w:id="182"/>
      <w:r w:rsidRPr="008C0646">
        <w:rPr>
          <w:szCs w:val="22"/>
          <w:u w:val="single"/>
        </w:rPr>
        <w:t>NO</w:t>
      </w:r>
      <w:r w:rsidRPr="008C0646">
        <w:rPr>
          <w:szCs w:val="22"/>
          <w:u w:val="single"/>
          <w:vertAlign w:val="subscript"/>
        </w:rPr>
        <w:t>X</w:t>
      </w:r>
      <w:r w:rsidRPr="008C0646">
        <w:rPr>
          <w:szCs w:val="22"/>
          <w:u w:val="single"/>
        </w:rPr>
        <w:t xml:space="preserve"> Emissions Limits – NSPS Subpart KKKK</w:t>
      </w:r>
      <w:r w:rsidRPr="008C0646">
        <w:rPr>
          <w:szCs w:val="22"/>
        </w:rPr>
        <w:t>.  The concentration of NO</w:t>
      </w:r>
      <w:r w:rsidRPr="008C0646">
        <w:rPr>
          <w:szCs w:val="22"/>
          <w:vertAlign w:val="subscript"/>
        </w:rPr>
        <w:t>X</w:t>
      </w:r>
      <w:r w:rsidRPr="008C0646">
        <w:rPr>
          <w:szCs w:val="22"/>
        </w:rPr>
        <w:t xml:space="preserve"> in the exhaust gas of each CT shall not exceed</w:t>
      </w:r>
      <w:r w:rsidR="00E03CD8" w:rsidRPr="008C0646">
        <w:rPr>
          <w:szCs w:val="22"/>
        </w:rPr>
        <w:t xml:space="preserve"> the following limits</w:t>
      </w:r>
      <w:r w:rsidR="00B655B4" w:rsidRPr="008C0646">
        <w:rPr>
          <w:szCs w:val="22"/>
        </w:rPr>
        <w:t xml:space="preserve">, based on a 30-unit operating day rolling average (as described in Specific Condition </w:t>
      </w:r>
      <w:r w:rsidR="00820306" w:rsidRPr="008C0646">
        <w:rPr>
          <w:b/>
          <w:szCs w:val="22"/>
        </w:rPr>
        <w:fldChar w:fldCharType="begin"/>
      </w:r>
      <w:r w:rsidR="00820306" w:rsidRPr="008C0646">
        <w:rPr>
          <w:b/>
          <w:szCs w:val="22"/>
        </w:rPr>
        <w:instrText xml:space="preserve"> REF _Hlk505246960 \r \h  \* MERGEFORMAT </w:instrText>
      </w:r>
      <w:r w:rsidR="00820306" w:rsidRPr="008C0646">
        <w:rPr>
          <w:b/>
          <w:szCs w:val="22"/>
        </w:rPr>
      </w:r>
      <w:r w:rsidR="00820306" w:rsidRPr="008C0646">
        <w:rPr>
          <w:b/>
          <w:szCs w:val="22"/>
        </w:rPr>
        <w:fldChar w:fldCharType="separate"/>
      </w:r>
      <w:r w:rsidR="00D31800">
        <w:rPr>
          <w:b/>
          <w:szCs w:val="22"/>
        </w:rPr>
        <w:t>D.17</w:t>
      </w:r>
      <w:r w:rsidR="00820306" w:rsidRPr="008C0646">
        <w:rPr>
          <w:b/>
          <w:szCs w:val="22"/>
        </w:rPr>
        <w:fldChar w:fldCharType="end"/>
      </w:r>
      <w:r w:rsidR="00820306" w:rsidRPr="008C0646">
        <w:rPr>
          <w:szCs w:val="22"/>
        </w:rPr>
        <w:t xml:space="preserve">, paragraph </w:t>
      </w:r>
      <w:r w:rsidR="00820306" w:rsidRPr="008C0646">
        <w:rPr>
          <w:b/>
          <w:szCs w:val="22"/>
        </w:rPr>
        <w:fldChar w:fldCharType="begin"/>
      </w:r>
      <w:r w:rsidR="00820306" w:rsidRPr="008C0646">
        <w:rPr>
          <w:b/>
          <w:szCs w:val="22"/>
        </w:rPr>
        <w:instrText xml:space="preserve"> REF _Hlk505247002 \r \h  \* MERGEFORMAT </w:instrText>
      </w:r>
      <w:r w:rsidR="00820306" w:rsidRPr="008C0646">
        <w:rPr>
          <w:b/>
          <w:szCs w:val="22"/>
        </w:rPr>
      </w:r>
      <w:r w:rsidR="00820306" w:rsidRPr="008C0646">
        <w:rPr>
          <w:b/>
          <w:szCs w:val="22"/>
        </w:rPr>
        <w:fldChar w:fldCharType="separate"/>
      </w:r>
      <w:r w:rsidR="00D31800">
        <w:rPr>
          <w:b/>
          <w:szCs w:val="22"/>
        </w:rPr>
        <w:t>a</w:t>
      </w:r>
      <w:r w:rsidR="00820306" w:rsidRPr="008C0646">
        <w:rPr>
          <w:b/>
          <w:szCs w:val="22"/>
        </w:rPr>
        <w:fldChar w:fldCharType="end"/>
      </w:r>
      <w:r w:rsidR="00B655B4" w:rsidRPr="008C0646">
        <w:rPr>
          <w:szCs w:val="22"/>
        </w:rPr>
        <w:t>)</w:t>
      </w:r>
      <w:r w:rsidR="00E03CD8" w:rsidRPr="008C0646">
        <w:rPr>
          <w:szCs w:val="22"/>
        </w:rPr>
        <w:t>:</w:t>
      </w:r>
      <w:bookmarkEnd w:id="183"/>
    </w:p>
    <w:p w14:paraId="6FC5136C" w14:textId="62959860" w:rsidR="00BC3A2C" w:rsidRPr="008C0646" w:rsidRDefault="00213975" w:rsidP="00061DE9">
      <w:pPr>
        <w:pStyle w:val="ListParagraph"/>
        <w:numPr>
          <w:ilvl w:val="0"/>
          <w:numId w:val="36"/>
        </w:numPr>
        <w:contextualSpacing w:val="0"/>
        <w:rPr>
          <w:szCs w:val="22"/>
        </w:rPr>
      </w:pPr>
      <w:r w:rsidRPr="008C0646">
        <w:rPr>
          <w:i/>
          <w:szCs w:val="22"/>
        </w:rPr>
        <w:t xml:space="preserve">Natural Gas.  </w:t>
      </w:r>
      <w:r w:rsidR="00F802B3" w:rsidRPr="008C0646">
        <w:rPr>
          <w:szCs w:val="22"/>
        </w:rPr>
        <w:t xml:space="preserve">15 ppm at </w:t>
      </w:r>
      <w:r w:rsidR="00E03CD8" w:rsidRPr="008C0646">
        <w:rPr>
          <w:szCs w:val="22"/>
        </w:rPr>
        <w:t>15% O</w:t>
      </w:r>
      <w:r w:rsidR="00E03CD8" w:rsidRPr="008C0646">
        <w:rPr>
          <w:szCs w:val="22"/>
          <w:vertAlign w:val="subscript"/>
        </w:rPr>
        <w:t>2</w:t>
      </w:r>
      <w:r w:rsidR="00E03CD8" w:rsidRPr="008C0646">
        <w:rPr>
          <w:szCs w:val="22"/>
        </w:rPr>
        <w:t xml:space="preserve"> or 54 nanograms per Joule (ng/J) of useful output (0.43 pounds per megawatt-hour (lb/MWh))</w:t>
      </w:r>
      <w:r w:rsidR="00AD2090" w:rsidRPr="008C0646">
        <w:rPr>
          <w:szCs w:val="22"/>
        </w:rPr>
        <w:t xml:space="preserve"> while operating at 75% of peak load or greater.</w:t>
      </w:r>
    </w:p>
    <w:p w14:paraId="20037D8F" w14:textId="77145210" w:rsidR="00213975" w:rsidRPr="008C0646" w:rsidRDefault="00213975" w:rsidP="00061DE9">
      <w:pPr>
        <w:pStyle w:val="ListParagraph"/>
        <w:numPr>
          <w:ilvl w:val="0"/>
          <w:numId w:val="36"/>
        </w:numPr>
        <w:contextualSpacing w:val="0"/>
        <w:rPr>
          <w:szCs w:val="22"/>
        </w:rPr>
      </w:pPr>
      <w:r w:rsidRPr="008C0646">
        <w:rPr>
          <w:i/>
          <w:szCs w:val="22"/>
        </w:rPr>
        <w:t xml:space="preserve">Fuel Oil.  </w:t>
      </w:r>
      <w:r w:rsidRPr="008C0646">
        <w:rPr>
          <w:szCs w:val="22"/>
        </w:rPr>
        <w:t>42 ppm at 15% O</w:t>
      </w:r>
      <w:r w:rsidRPr="008C0646">
        <w:rPr>
          <w:szCs w:val="22"/>
          <w:vertAlign w:val="subscript"/>
        </w:rPr>
        <w:t>2</w:t>
      </w:r>
      <w:r w:rsidRPr="008C0646">
        <w:rPr>
          <w:szCs w:val="22"/>
        </w:rPr>
        <w:t xml:space="preserve"> or 160 ng/J of useful output (1.3 lb/MWh) while operating at 75% of peak load or greater.  </w:t>
      </w:r>
    </w:p>
    <w:p w14:paraId="7A12833F" w14:textId="619D1BB5" w:rsidR="00AD2090" w:rsidRPr="008C0646" w:rsidRDefault="00213975" w:rsidP="00061DE9">
      <w:pPr>
        <w:pStyle w:val="ListParagraph"/>
        <w:numPr>
          <w:ilvl w:val="0"/>
          <w:numId w:val="36"/>
        </w:numPr>
        <w:contextualSpacing w:val="0"/>
        <w:rPr>
          <w:szCs w:val="22"/>
        </w:rPr>
      </w:pPr>
      <w:r w:rsidRPr="008C0646">
        <w:rPr>
          <w:i/>
          <w:szCs w:val="22"/>
        </w:rPr>
        <w:t xml:space="preserve">Low Load Operation.  </w:t>
      </w:r>
      <w:r w:rsidR="00AD2090" w:rsidRPr="008C0646">
        <w:rPr>
          <w:szCs w:val="22"/>
        </w:rPr>
        <w:t>96 ppm at 15% O</w:t>
      </w:r>
      <w:r w:rsidR="00AD2090" w:rsidRPr="008C0646">
        <w:rPr>
          <w:szCs w:val="22"/>
          <w:vertAlign w:val="subscript"/>
        </w:rPr>
        <w:t>2</w:t>
      </w:r>
      <w:r w:rsidR="00AD2090" w:rsidRPr="008C0646">
        <w:rPr>
          <w:szCs w:val="22"/>
        </w:rPr>
        <w:t xml:space="preserve"> or 590 ng/J of useful output (4.7 lb/MWh) while operating at less than 75% of peak load.</w:t>
      </w:r>
    </w:p>
    <w:p w14:paraId="633CDE2C" w14:textId="3746D956" w:rsidR="00213975" w:rsidRPr="008C0646" w:rsidRDefault="00213975" w:rsidP="00061DE9">
      <w:pPr>
        <w:pStyle w:val="ListParagraph"/>
        <w:numPr>
          <w:ilvl w:val="0"/>
          <w:numId w:val="36"/>
        </w:numPr>
        <w:contextualSpacing w:val="0"/>
        <w:rPr>
          <w:szCs w:val="22"/>
        </w:rPr>
      </w:pPr>
      <w:r w:rsidRPr="008C0646">
        <w:rPr>
          <w:i/>
          <w:szCs w:val="22"/>
        </w:rPr>
        <w:t>Multiple Fuels.</w:t>
      </w:r>
      <w:r w:rsidRPr="008C0646">
        <w:rPr>
          <w:szCs w:val="22"/>
        </w:rPr>
        <w:t xml:space="preserve">  If the total heat input to each CT is greater than or equal to 50% natural gas, the corresponding limit for a natural-gas fired turbine must be met when burning that fuel.  Similarly, when the total heat input to each CT is </w:t>
      </w:r>
      <w:r w:rsidR="0042548E" w:rsidRPr="008C0646">
        <w:rPr>
          <w:szCs w:val="22"/>
        </w:rPr>
        <w:t>greater than 50% distillate oil, the corresponding limit for distillate oil must be met for the duration of the time that distillate oil is burned.</w:t>
      </w:r>
    </w:p>
    <w:bookmarkEnd w:id="184"/>
    <w:p w14:paraId="340C7E9A" w14:textId="6C4A1B9D" w:rsidR="00A912F3" w:rsidRPr="008C0646" w:rsidRDefault="00A912F3" w:rsidP="00061DE9">
      <w:pPr>
        <w:pStyle w:val="ListParagraph"/>
        <w:numPr>
          <w:ilvl w:val="0"/>
          <w:numId w:val="36"/>
        </w:numPr>
        <w:contextualSpacing w:val="0"/>
        <w:rPr>
          <w:szCs w:val="22"/>
        </w:rPr>
      </w:pPr>
      <w:r w:rsidRPr="008C0646">
        <w:rPr>
          <w:i/>
          <w:szCs w:val="22"/>
        </w:rPr>
        <w:t>Independent HRSGs.</w:t>
      </w:r>
      <w:r w:rsidRPr="008C0646">
        <w:rPr>
          <w:szCs w:val="22"/>
        </w:rPr>
        <w:t xml:space="preserve">  Each HRSG must meet a limit of 54 ppm at 15% O</w:t>
      </w:r>
      <w:r w:rsidRPr="008C0646">
        <w:rPr>
          <w:szCs w:val="22"/>
          <w:vertAlign w:val="subscript"/>
        </w:rPr>
        <w:t>2</w:t>
      </w:r>
      <w:r w:rsidRPr="008C0646">
        <w:rPr>
          <w:szCs w:val="22"/>
        </w:rPr>
        <w:t xml:space="preserve"> or 110 ng/J of useful output (0.86 lb/MWh) while the duct burners are operating independent of the CT.</w:t>
      </w:r>
    </w:p>
    <w:p w14:paraId="3D15497B" w14:textId="3E7A149F" w:rsidR="00AD2090" w:rsidRPr="008C0646" w:rsidRDefault="00AD2090" w:rsidP="00BF0FBD">
      <w:pPr>
        <w:pStyle w:val="ListParagraph"/>
        <w:spacing w:after="120"/>
        <w:ind w:left="360"/>
        <w:contextualSpacing w:val="0"/>
        <w:rPr>
          <w:szCs w:val="22"/>
        </w:rPr>
      </w:pPr>
      <w:r w:rsidRPr="008C0646">
        <w:rPr>
          <w:szCs w:val="22"/>
        </w:rPr>
        <w:t>[40 CFR 60.</w:t>
      </w:r>
      <w:r w:rsidR="00730E41" w:rsidRPr="008C0646">
        <w:rPr>
          <w:szCs w:val="22"/>
        </w:rPr>
        <w:t>4320(a)</w:t>
      </w:r>
      <w:r w:rsidR="0042548E" w:rsidRPr="008C0646">
        <w:rPr>
          <w:szCs w:val="22"/>
        </w:rPr>
        <w:t>, 60.4325</w:t>
      </w:r>
      <w:r w:rsidR="00730E41" w:rsidRPr="008C0646">
        <w:rPr>
          <w:szCs w:val="22"/>
        </w:rPr>
        <w:t xml:space="preserve"> &amp; 60.4350(h)]</w:t>
      </w:r>
    </w:p>
    <w:p w14:paraId="73A9F5E0" w14:textId="10B27CFC" w:rsidR="00A17229" w:rsidRPr="008C0646" w:rsidRDefault="00A17229" w:rsidP="00061DE9">
      <w:pPr>
        <w:pStyle w:val="ListParagraph"/>
        <w:numPr>
          <w:ilvl w:val="0"/>
          <w:numId w:val="22"/>
        </w:numPr>
        <w:spacing w:after="120"/>
        <w:ind w:left="360"/>
        <w:contextualSpacing w:val="0"/>
        <w:rPr>
          <w:szCs w:val="22"/>
        </w:rPr>
      </w:pPr>
      <w:bookmarkStart w:id="186" w:name="_Hlk520469501"/>
      <w:bookmarkStart w:id="187" w:name="_Hlk523402274"/>
      <w:bookmarkEnd w:id="185"/>
      <w:r w:rsidRPr="008C0646">
        <w:rPr>
          <w:szCs w:val="22"/>
          <w:u w:val="single"/>
        </w:rPr>
        <w:t>SO</w:t>
      </w:r>
      <w:r w:rsidRPr="008C0646">
        <w:rPr>
          <w:szCs w:val="22"/>
          <w:u w:val="single"/>
          <w:vertAlign w:val="subscript"/>
        </w:rPr>
        <w:t>2</w:t>
      </w:r>
      <w:r w:rsidRPr="008C0646">
        <w:rPr>
          <w:szCs w:val="22"/>
          <w:u w:val="single"/>
        </w:rPr>
        <w:t xml:space="preserve"> Emissions Limits – NSPS Subpart KKKK</w:t>
      </w:r>
      <w:r w:rsidRPr="008C0646">
        <w:rPr>
          <w:szCs w:val="22"/>
        </w:rPr>
        <w:t>.  The permittee must not burn in each CT any fuel which contains total potential sulfur emissions in excess of 26 ng SO</w:t>
      </w:r>
      <w:r w:rsidRPr="008C0646">
        <w:rPr>
          <w:szCs w:val="22"/>
          <w:vertAlign w:val="subscript"/>
        </w:rPr>
        <w:t>2</w:t>
      </w:r>
      <w:r w:rsidRPr="008C0646">
        <w:rPr>
          <w:szCs w:val="22"/>
        </w:rPr>
        <w:t>/J (0.060 lb SO</w:t>
      </w:r>
      <w:r w:rsidRPr="008C0646">
        <w:rPr>
          <w:szCs w:val="22"/>
          <w:vertAlign w:val="subscript"/>
        </w:rPr>
        <w:t>2</w:t>
      </w:r>
      <w:r w:rsidRPr="008C0646">
        <w:rPr>
          <w:szCs w:val="22"/>
        </w:rPr>
        <w:t>/MMBtu) heat input.  If the CT simultaneously fires multiple fuels, each fuel must meet this requirement.  [Rule 62-204.800(8)(b)82., F.A.C.; and, 40 CFR 60.4330(a)(2)]</w:t>
      </w:r>
      <w:bookmarkEnd w:id="186"/>
    </w:p>
    <w:p w14:paraId="76106760" w14:textId="54055B50" w:rsidR="00632DD9" w:rsidRPr="008C0646" w:rsidRDefault="00213975" w:rsidP="00061DE9">
      <w:pPr>
        <w:pStyle w:val="ListParagraph"/>
        <w:numPr>
          <w:ilvl w:val="0"/>
          <w:numId w:val="22"/>
        </w:numPr>
        <w:ind w:left="360"/>
        <w:contextualSpacing w:val="0"/>
        <w:rPr>
          <w:szCs w:val="22"/>
        </w:rPr>
      </w:pPr>
      <w:bookmarkStart w:id="188" w:name="_Hlk520469523"/>
      <w:bookmarkStart w:id="189" w:name="_Hlk523402298"/>
      <w:bookmarkEnd w:id="187"/>
      <w:r w:rsidRPr="008C0646">
        <w:rPr>
          <w:szCs w:val="22"/>
          <w:u w:val="single"/>
        </w:rPr>
        <w:t>Visible Emissions</w:t>
      </w:r>
      <w:r w:rsidRPr="008C0646">
        <w:rPr>
          <w:szCs w:val="22"/>
        </w:rPr>
        <w:t xml:space="preserve">.  </w:t>
      </w:r>
      <w:r w:rsidR="00632DD9" w:rsidRPr="008C0646">
        <w:rPr>
          <w:szCs w:val="22"/>
        </w:rPr>
        <w:t>VE from each CT shall not exceed the following limits:</w:t>
      </w:r>
    </w:p>
    <w:p w14:paraId="6C8CF6E8" w14:textId="64E19E12" w:rsidR="00632DD9" w:rsidRPr="008C0646" w:rsidRDefault="00632DD9" w:rsidP="00061DE9">
      <w:pPr>
        <w:pStyle w:val="ListParagraph"/>
        <w:numPr>
          <w:ilvl w:val="0"/>
          <w:numId w:val="100"/>
        </w:numPr>
        <w:contextualSpacing w:val="0"/>
        <w:rPr>
          <w:szCs w:val="22"/>
        </w:rPr>
      </w:pPr>
      <w:r w:rsidRPr="008C0646">
        <w:rPr>
          <w:i/>
          <w:szCs w:val="22"/>
        </w:rPr>
        <w:t xml:space="preserve">Combined Cycle Operation While </w:t>
      </w:r>
      <w:r w:rsidR="000D2D0F" w:rsidRPr="008C0646">
        <w:rPr>
          <w:i/>
          <w:szCs w:val="22"/>
        </w:rPr>
        <w:t>Firing</w:t>
      </w:r>
      <w:r w:rsidRPr="008C0646">
        <w:rPr>
          <w:i/>
          <w:szCs w:val="22"/>
        </w:rPr>
        <w:t xml:space="preserve"> </w:t>
      </w:r>
      <w:r w:rsidR="000D2D0F" w:rsidRPr="008C0646">
        <w:rPr>
          <w:i/>
          <w:szCs w:val="22"/>
        </w:rPr>
        <w:t>All Fuels.</w:t>
      </w:r>
      <w:r w:rsidR="000D2D0F" w:rsidRPr="008C0646">
        <w:rPr>
          <w:szCs w:val="22"/>
        </w:rPr>
        <w:t xml:space="preserve">  10% opacity for each 6-minute block average; and</w:t>
      </w:r>
    </w:p>
    <w:p w14:paraId="5E263D4A" w14:textId="40D93C92" w:rsidR="000D2D0F" w:rsidRPr="008C0646" w:rsidRDefault="000D2D0F" w:rsidP="00061DE9">
      <w:pPr>
        <w:pStyle w:val="ListParagraph"/>
        <w:numPr>
          <w:ilvl w:val="0"/>
          <w:numId w:val="100"/>
        </w:numPr>
        <w:contextualSpacing w:val="0"/>
        <w:rPr>
          <w:szCs w:val="22"/>
        </w:rPr>
      </w:pPr>
      <w:r w:rsidRPr="008C0646">
        <w:rPr>
          <w:i/>
          <w:szCs w:val="22"/>
        </w:rPr>
        <w:t>Startup, Shutdown and Malfunction.</w:t>
      </w:r>
      <w:r w:rsidRPr="008C0646">
        <w:rPr>
          <w:szCs w:val="22"/>
        </w:rPr>
        <w:t xml:space="preserve">  10% opacity except for up to ten, 6-minute averaging periods during a calendar day, which shall not exceed 20% opacity.</w:t>
      </w:r>
    </w:p>
    <w:p w14:paraId="46F1D6A6" w14:textId="724AD911" w:rsidR="00BF0FBD" w:rsidRPr="008C0646" w:rsidRDefault="000D2D0F" w:rsidP="00632DD9">
      <w:pPr>
        <w:pStyle w:val="ListParagraph"/>
        <w:spacing w:after="120"/>
        <w:ind w:left="360"/>
        <w:contextualSpacing w:val="0"/>
        <w:rPr>
          <w:szCs w:val="22"/>
        </w:rPr>
      </w:pPr>
      <w:r w:rsidRPr="008C0646">
        <w:rPr>
          <w:szCs w:val="22"/>
        </w:rPr>
        <w:t>[</w:t>
      </w:r>
      <w:r w:rsidR="00213975" w:rsidRPr="008C0646">
        <w:rPr>
          <w:szCs w:val="22"/>
        </w:rPr>
        <w:t>Rule 62-212.400(BACT), F.A.C.; and, Permit No. 0850001-010-AC/PSD-FL-327]</w:t>
      </w:r>
      <w:bookmarkEnd w:id="188"/>
    </w:p>
    <w:bookmarkEnd w:id="189"/>
    <w:p w14:paraId="6773763D" w14:textId="26F8C5C7" w:rsidR="00805CC9" w:rsidRDefault="00805CC9" w:rsidP="00061DE9">
      <w:pPr>
        <w:pStyle w:val="ListParagraph"/>
        <w:numPr>
          <w:ilvl w:val="0"/>
          <w:numId w:val="22"/>
        </w:numPr>
        <w:spacing w:after="120"/>
        <w:ind w:left="360"/>
        <w:contextualSpacing w:val="0"/>
        <w:rPr>
          <w:szCs w:val="22"/>
        </w:rPr>
      </w:pPr>
      <w:r w:rsidRPr="00C16FF6">
        <w:rPr>
          <w:szCs w:val="22"/>
          <w:u w:val="single"/>
        </w:rPr>
        <w:t>Combined Cycle Operation with Steam Dumped to Condenser</w:t>
      </w:r>
      <w:r w:rsidRPr="00C16FF6">
        <w:rPr>
          <w:szCs w:val="22"/>
        </w:rPr>
        <w:t>.  If the steam-electrical turbine generator is off line, the permittee is authorized to operate the gas turbine/HRSG systems by dumping steam to the condenser.  When operating in this manner, each unit shall comply with the standards established for combined cycle operation with ammonia injection (SCR).  [Permit No. 0850001-010-AC</w:t>
      </w:r>
      <w:r>
        <w:rPr>
          <w:szCs w:val="22"/>
        </w:rPr>
        <w:t>/</w:t>
      </w:r>
      <w:r w:rsidRPr="00C16FF6">
        <w:rPr>
          <w:szCs w:val="22"/>
        </w:rPr>
        <w:t>PSD-FL-327]</w:t>
      </w:r>
    </w:p>
    <w:p w14:paraId="6C4F5DBB" w14:textId="00FFB9E7" w:rsidR="00D566C9" w:rsidRPr="00D566C9" w:rsidRDefault="00D566C9" w:rsidP="00D566C9">
      <w:pPr>
        <w:tabs>
          <w:tab w:val="left" w:pos="1080"/>
          <w:tab w:val="left" w:pos="1440"/>
        </w:tabs>
        <w:spacing w:after="120"/>
        <w:rPr>
          <w:b/>
          <w:u w:val="single"/>
        </w:rPr>
      </w:pPr>
      <w:r w:rsidRPr="00D566C9">
        <w:rPr>
          <w:b/>
          <w:u w:val="single"/>
        </w:rPr>
        <w:t>Excess Emissions</w:t>
      </w:r>
    </w:p>
    <w:p w14:paraId="4DDBE63A" w14:textId="6D8B8006" w:rsidR="00EB14B3" w:rsidRDefault="00D566C9" w:rsidP="00D566C9">
      <w:pPr>
        <w:pStyle w:val="ListParagraph"/>
        <w:spacing w:after="120"/>
        <w:ind w:left="0"/>
        <w:contextualSpacing w:val="0"/>
        <w:rPr>
          <w:szCs w:val="22"/>
        </w:rPr>
      </w:pPr>
      <w:r w:rsidRPr="00C66B90">
        <w:rPr>
          <w:szCs w:val="22"/>
        </w:rPr>
        <w:t>Rule 62-210.700</w:t>
      </w:r>
      <w:r>
        <w:rPr>
          <w:szCs w:val="22"/>
        </w:rPr>
        <w:t xml:space="preserve"> (</w:t>
      </w:r>
      <w:r w:rsidRPr="00C66B90">
        <w:rPr>
          <w:szCs w:val="22"/>
        </w:rPr>
        <w:t>Excess Emissions</w:t>
      </w:r>
      <w:r>
        <w:rPr>
          <w:szCs w:val="22"/>
        </w:rPr>
        <w:t>)</w:t>
      </w:r>
      <w:r w:rsidRPr="00C66B90">
        <w:rPr>
          <w:szCs w:val="22"/>
        </w:rPr>
        <w:t>, F.A.C. cannot vary any requirement of a</w:t>
      </w:r>
      <w:r>
        <w:rPr>
          <w:szCs w:val="22"/>
        </w:rPr>
        <w:t>n</w:t>
      </w:r>
      <w:r w:rsidRPr="00C66B90">
        <w:rPr>
          <w:szCs w:val="22"/>
        </w:rPr>
        <w:t xml:space="preserve"> NSPS, NESHAP </w:t>
      </w:r>
      <w:r>
        <w:rPr>
          <w:szCs w:val="22"/>
        </w:rPr>
        <w:t>or Acid Rain program provision.</w:t>
      </w:r>
    </w:p>
    <w:p w14:paraId="57DE6C02" w14:textId="5E5C50ED" w:rsidR="000D2D0F" w:rsidRPr="008C0646" w:rsidRDefault="000D2D0F" w:rsidP="00061DE9">
      <w:pPr>
        <w:pStyle w:val="ListParagraph"/>
        <w:numPr>
          <w:ilvl w:val="0"/>
          <w:numId w:val="22"/>
        </w:numPr>
        <w:spacing w:after="120"/>
        <w:ind w:left="360"/>
        <w:contextualSpacing w:val="0"/>
        <w:rPr>
          <w:szCs w:val="22"/>
        </w:rPr>
      </w:pPr>
      <w:r w:rsidRPr="008C0646">
        <w:rPr>
          <w:szCs w:val="22"/>
          <w:u w:val="single"/>
        </w:rPr>
        <w:t>Excess Emissions Allowed</w:t>
      </w:r>
      <w:r w:rsidRPr="008C0646">
        <w:rPr>
          <w:szCs w:val="22"/>
        </w:rPr>
        <w:t xml:space="preserve">.  Except as provided in Specific Condition </w:t>
      </w:r>
      <w:r w:rsidRPr="008C0646">
        <w:rPr>
          <w:b/>
          <w:szCs w:val="22"/>
        </w:rPr>
        <w:fldChar w:fldCharType="begin"/>
      </w:r>
      <w:r w:rsidRPr="008C0646">
        <w:rPr>
          <w:b/>
          <w:szCs w:val="22"/>
        </w:rPr>
        <w:instrText xml:space="preserve"> REF _Ref503945502 \r \h  \* MERGEFORMAT </w:instrText>
      </w:r>
      <w:r w:rsidRPr="008C0646">
        <w:rPr>
          <w:b/>
          <w:szCs w:val="22"/>
        </w:rPr>
      </w:r>
      <w:r w:rsidRPr="008C0646">
        <w:rPr>
          <w:b/>
          <w:szCs w:val="22"/>
        </w:rPr>
        <w:fldChar w:fldCharType="separate"/>
      </w:r>
      <w:r w:rsidR="00D31800">
        <w:rPr>
          <w:b/>
          <w:szCs w:val="22"/>
        </w:rPr>
        <w:t>D.15</w:t>
      </w:r>
      <w:r w:rsidRPr="008C0646">
        <w:rPr>
          <w:b/>
          <w:szCs w:val="22"/>
        </w:rPr>
        <w:fldChar w:fldCharType="end"/>
      </w:r>
      <w:r w:rsidRPr="008C0646">
        <w:rPr>
          <w:szCs w:val="22"/>
        </w:rPr>
        <w:t>, excess emissions resulting from startup, shutdown or malfunction of any emissions unit shall be permitted provided that best operational practices to minimize emissions are adhered to and the duration of excess emissions shall be minimized but in no case exceed two hours in any 24 hour period unless specifically authorized by the Department for longer duration.  [Rule 62-210.700(1), F.A.C.]</w:t>
      </w:r>
    </w:p>
    <w:p w14:paraId="1BBB4D5C" w14:textId="085C4C0E" w:rsidR="00D566C9" w:rsidRDefault="00D566C9" w:rsidP="00061DE9">
      <w:pPr>
        <w:pStyle w:val="ListParagraph"/>
        <w:numPr>
          <w:ilvl w:val="0"/>
          <w:numId w:val="22"/>
        </w:numPr>
        <w:spacing w:after="120"/>
        <w:ind w:left="360"/>
        <w:contextualSpacing w:val="0"/>
        <w:rPr>
          <w:szCs w:val="22"/>
        </w:rPr>
      </w:pPr>
      <w:r w:rsidRPr="00C16FF6">
        <w:rPr>
          <w:szCs w:val="22"/>
          <w:u w:val="single"/>
        </w:rPr>
        <w:t>Operating Procedures</w:t>
      </w:r>
      <w:r w:rsidRPr="00C16FF6">
        <w:rPr>
          <w:szCs w:val="22"/>
        </w:rPr>
        <w:t>.  The Best Available Control Technology (BACT) determinations established by this permit rely on “good operating practices” to reduce emissions.  Therefore, all operators and supervisors shall be properly trained to operate and maintain the gas turbines, HRSG units, and pollution control systems in accordance with the guidelines and procedures established by each manufacturer.  The training shall include good operating practices as well as methods of minimizing excess emissions.  [Permit No. 0850001-010-AC</w:t>
      </w:r>
      <w:r>
        <w:rPr>
          <w:szCs w:val="22"/>
        </w:rPr>
        <w:t>/</w:t>
      </w:r>
      <w:r w:rsidRPr="00C16FF6">
        <w:rPr>
          <w:szCs w:val="22"/>
        </w:rPr>
        <w:t>PSD-FL-327]</w:t>
      </w:r>
    </w:p>
    <w:p w14:paraId="1486A5D4" w14:textId="0F60C504" w:rsidR="00D566C9" w:rsidRDefault="00D566C9" w:rsidP="00061DE9">
      <w:pPr>
        <w:pStyle w:val="ListParagraph"/>
        <w:numPr>
          <w:ilvl w:val="0"/>
          <w:numId w:val="22"/>
        </w:numPr>
        <w:spacing w:after="120"/>
        <w:ind w:left="360"/>
        <w:contextualSpacing w:val="0"/>
        <w:rPr>
          <w:szCs w:val="22"/>
        </w:rPr>
      </w:pPr>
      <w:r w:rsidRPr="00C16FF6">
        <w:rPr>
          <w:szCs w:val="22"/>
          <w:u w:val="single"/>
        </w:rPr>
        <w:t>Excess Emissions Prohibited</w:t>
      </w:r>
      <w:r w:rsidRPr="00C16FF6">
        <w:rPr>
          <w:szCs w:val="22"/>
        </w:rPr>
        <w:t>.  Excess emissions caused entirely or in part by poor maintenance, poor operation or any other equipment or process failure that may reasonably be prevented during startup, shutdown or malfunction shall be prohibited.  All such preventable emissions shall be included in any compliance determinations based on CEMS data.  [Permit No. 0850001-010-AC</w:t>
      </w:r>
      <w:r>
        <w:rPr>
          <w:szCs w:val="22"/>
        </w:rPr>
        <w:t>/</w:t>
      </w:r>
      <w:r w:rsidRPr="00C16FF6">
        <w:rPr>
          <w:szCs w:val="22"/>
        </w:rPr>
        <w:t>PSD-FL-327]</w:t>
      </w:r>
    </w:p>
    <w:p w14:paraId="0A3B772F" w14:textId="4ACBD12C" w:rsidR="00D566C9" w:rsidRDefault="00D566C9" w:rsidP="00061DE9">
      <w:pPr>
        <w:pStyle w:val="ListParagraph"/>
        <w:numPr>
          <w:ilvl w:val="0"/>
          <w:numId w:val="22"/>
        </w:numPr>
        <w:ind w:left="360"/>
        <w:contextualSpacing w:val="0"/>
        <w:rPr>
          <w:szCs w:val="22"/>
        </w:rPr>
      </w:pPr>
      <w:bookmarkStart w:id="190" w:name="_Ref503945502"/>
      <w:r w:rsidRPr="00C16FF6">
        <w:rPr>
          <w:szCs w:val="22"/>
          <w:u w:val="single"/>
        </w:rPr>
        <w:t>Excess Emissions Allowed</w:t>
      </w:r>
      <w:r w:rsidRPr="00C16FF6">
        <w:rPr>
          <w:szCs w:val="22"/>
        </w:rPr>
        <w:t xml:space="preserve">.  </w:t>
      </w:r>
      <w:bookmarkStart w:id="191" w:name="sulfur"/>
      <w:bookmarkStart w:id="192" w:name="DataExclusion"/>
      <w:bookmarkEnd w:id="191"/>
      <w:bookmarkEnd w:id="192"/>
      <w:r w:rsidRPr="00C16FF6">
        <w:rPr>
          <w:szCs w:val="22"/>
        </w:rPr>
        <w:t>As specified in this condition, excess emissions resulting from startup, shutdown, fuel switches, and documented malfunctions are allowed provided that operators employ the best operational practices to minimize the amount and duration of emissions during such incidents.  For each gas turbine/HRSG System, excess emissions of NO</w:t>
      </w:r>
      <w:r w:rsidRPr="00C16FF6">
        <w:rPr>
          <w:szCs w:val="22"/>
          <w:vertAlign w:val="subscript"/>
        </w:rPr>
        <w:t>X</w:t>
      </w:r>
      <w:r w:rsidRPr="00C16FF6">
        <w:rPr>
          <w:szCs w:val="22"/>
        </w:rPr>
        <w:t xml:space="preserve"> and CO</w:t>
      </w:r>
      <w:r w:rsidR="001F7662">
        <w:rPr>
          <w:szCs w:val="22"/>
        </w:rPr>
        <w:t xml:space="preserve"> </w:t>
      </w:r>
      <w:r w:rsidR="001F7662" w:rsidRPr="008C0646">
        <w:rPr>
          <w:szCs w:val="22"/>
        </w:rPr>
        <w:t>(if the option to use a CO CEMS is chosen)</w:t>
      </w:r>
      <w:r w:rsidR="001F7662" w:rsidRPr="00C16FF6">
        <w:rPr>
          <w:szCs w:val="22"/>
        </w:rPr>
        <w:t xml:space="preserve"> </w:t>
      </w:r>
      <w:r w:rsidRPr="00C16FF6">
        <w:rPr>
          <w:szCs w:val="22"/>
        </w:rPr>
        <w:t>resulting from startup, shutdown, fuel switches or malfunction shall be excluded from CEMS data in any 24-hour period for the following conditions (these conditions are considered separate events and each event may occur independently within any 24-hour period):</w:t>
      </w:r>
      <w:bookmarkEnd w:id="190"/>
    </w:p>
    <w:p w14:paraId="077F5C15" w14:textId="2A773EA9" w:rsidR="007740A2" w:rsidRPr="007740A2" w:rsidRDefault="007740A2" w:rsidP="00061DE9">
      <w:pPr>
        <w:pStyle w:val="ListParagraph"/>
        <w:numPr>
          <w:ilvl w:val="0"/>
          <w:numId w:val="42"/>
        </w:numPr>
        <w:spacing w:after="120"/>
        <w:contextualSpacing w:val="0"/>
        <w:rPr>
          <w:szCs w:val="22"/>
        </w:rPr>
      </w:pPr>
      <w:r w:rsidRPr="00C16FF6">
        <w:rPr>
          <w:i/>
          <w:iCs/>
          <w:szCs w:val="22"/>
        </w:rPr>
        <w:t>Steam Turbine Cold Startup.</w:t>
      </w:r>
      <w:r w:rsidRPr="00C16FF6">
        <w:rPr>
          <w:iCs/>
          <w:szCs w:val="22"/>
        </w:rPr>
        <w:t xml:space="preserve">  </w:t>
      </w:r>
      <w:r w:rsidRPr="00C16FF6">
        <w:rPr>
          <w:szCs w:val="22"/>
        </w:rPr>
        <w:t xml:space="preserve">For cold startup of the steam turbine system, excluded emissions from any gas turbine/HRSG system shall not exceed eight hours in any 24-hour period.  Cold startup of the steam turbine system shall be completed within twelve hours.  A cold “startup of the steam turbine” is defined as startup of the 4-on-1 combined cycle system following a shutdown of the steam turbine lasting at least 48 hours.  </w:t>
      </w:r>
      <w:r w:rsidRPr="00C16FF6">
        <w:rPr>
          <w:i/>
          <w:szCs w:val="22"/>
        </w:rPr>
        <w:t xml:space="preserve">{Permitting Note:  During a cold startup of the steam turbine system, each gas turbine/HRSG system </w:t>
      </w:r>
      <w:r w:rsidRPr="00C16FF6">
        <w:rPr>
          <w:i/>
          <w:iCs/>
          <w:szCs w:val="22"/>
        </w:rPr>
        <w:t xml:space="preserve">in the 4-on-1 combined cycle system </w:t>
      </w:r>
      <w:r w:rsidRPr="00C16FF6">
        <w:rPr>
          <w:i/>
          <w:szCs w:val="22"/>
        </w:rPr>
        <w:t xml:space="preserve">is sequentially brought on line at low load to gradually increase the temperature of the steam-electrical turbine </w:t>
      </w:r>
      <w:r w:rsidRPr="00C16FF6">
        <w:rPr>
          <w:i/>
          <w:iCs/>
          <w:szCs w:val="22"/>
        </w:rPr>
        <w:t xml:space="preserve">in order to </w:t>
      </w:r>
      <w:r w:rsidRPr="00C16FF6">
        <w:rPr>
          <w:i/>
          <w:szCs w:val="22"/>
        </w:rPr>
        <w:t>prevent thermal metal fatigue.  Note that shutdowns and documented malfunctions are separately regulated in accordance with the requirements of this condition.}</w:t>
      </w:r>
    </w:p>
    <w:p w14:paraId="3BABA167" w14:textId="41C25926" w:rsidR="007740A2" w:rsidRDefault="007740A2" w:rsidP="00061DE9">
      <w:pPr>
        <w:pStyle w:val="ListParagraph"/>
        <w:numPr>
          <w:ilvl w:val="0"/>
          <w:numId w:val="42"/>
        </w:numPr>
        <w:contextualSpacing w:val="0"/>
        <w:rPr>
          <w:szCs w:val="22"/>
        </w:rPr>
      </w:pPr>
      <w:r w:rsidRPr="00C16FF6">
        <w:rPr>
          <w:i/>
          <w:iCs/>
          <w:szCs w:val="22"/>
        </w:rPr>
        <w:t>Gas Turbine/HRSG System Cold Startup.</w:t>
      </w:r>
      <w:r w:rsidRPr="00C16FF6">
        <w:rPr>
          <w:iCs/>
          <w:szCs w:val="22"/>
        </w:rPr>
        <w:t xml:space="preserve">  </w:t>
      </w:r>
      <w:r w:rsidRPr="00C16FF6">
        <w:rPr>
          <w:szCs w:val="22"/>
        </w:rPr>
        <w:t>For cold startup of an individual gas turbine/HRSG system, excluded emissions shall not exceed four hours in any 24-hour period.  “Cold startup of a gas turbine/HRSG system” is defined as a startup after the pressure in the high-pressure (HP) steam drum falls below 450 pounds per square inch gauge (psig) for at least a one-hour period.</w:t>
      </w:r>
    </w:p>
    <w:p w14:paraId="57E2E0B8" w14:textId="40196685" w:rsidR="007740A2" w:rsidRDefault="007740A2" w:rsidP="00061DE9">
      <w:pPr>
        <w:pStyle w:val="ListParagraph"/>
        <w:numPr>
          <w:ilvl w:val="0"/>
          <w:numId w:val="42"/>
        </w:numPr>
        <w:contextualSpacing w:val="0"/>
        <w:rPr>
          <w:szCs w:val="22"/>
        </w:rPr>
      </w:pPr>
      <w:r w:rsidRPr="00C16FF6">
        <w:rPr>
          <w:i/>
          <w:szCs w:val="22"/>
        </w:rPr>
        <w:t>Gas Turbine/HRSG System Warm Startup</w:t>
      </w:r>
      <w:r w:rsidRPr="00C16FF6">
        <w:rPr>
          <w:szCs w:val="22"/>
        </w:rPr>
        <w:t>:  For warm startup of a gas turbine/HRSG system, excluded emissions shall not exceed two hours in any 24-hour period (with the additional provision of a limit of 2 warm startup periods per 24 hours per gas turbine/HRSG system, in which case excluded emissions shall not exceed eight hours total for the 4-on-1 combined cycle system).  “Warm startup of a gas turbine/HRSG system” is defined as a startup after the pressure in the high-pressure (HP) steam drum is above 450 psig.</w:t>
      </w:r>
    </w:p>
    <w:p w14:paraId="297ECB84" w14:textId="4C862302" w:rsidR="007740A2" w:rsidRDefault="007740A2" w:rsidP="00061DE9">
      <w:pPr>
        <w:pStyle w:val="ListParagraph"/>
        <w:numPr>
          <w:ilvl w:val="0"/>
          <w:numId w:val="42"/>
        </w:numPr>
        <w:contextualSpacing w:val="0"/>
        <w:rPr>
          <w:szCs w:val="22"/>
        </w:rPr>
      </w:pPr>
      <w:r w:rsidRPr="00C16FF6">
        <w:rPr>
          <w:i/>
          <w:szCs w:val="22"/>
        </w:rPr>
        <w:t>Gas Turbine/HRSG System Shutdown</w:t>
      </w:r>
      <w:r w:rsidRPr="00C16FF6">
        <w:rPr>
          <w:szCs w:val="22"/>
        </w:rPr>
        <w:t>:  For shutdown of the gas turbine/HRSG system operation, excluded emissions from any individual gas turbine/HRSG system shall not exceed two hours in any 24-hour period.</w:t>
      </w:r>
    </w:p>
    <w:p w14:paraId="50F9D2A0" w14:textId="1D8B5B9E" w:rsidR="007740A2" w:rsidRDefault="007740A2" w:rsidP="00061DE9">
      <w:pPr>
        <w:pStyle w:val="ListParagraph"/>
        <w:numPr>
          <w:ilvl w:val="0"/>
          <w:numId w:val="42"/>
        </w:numPr>
        <w:contextualSpacing w:val="0"/>
        <w:rPr>
          <w:szCs w:val="22"/>
        </w:rPr>
      </w:pPr>
      <w:r w:rsidRPr="00C16FF6">
        <w:rPr>
          <w:i/>
          <w:szCs w:val="22"/>
        </w:rPr>
        <w:t>Shutdown Combined Cycle Operation</w:t>
      </w:r>
      <w:r w:rsidRPr="00C16FF6">
        <w:rPr>
          <w:szCs w:val="22"/>
        </w:rPr>
        <w:t>:  For shutdown of the entire 4-on-1 combined cycle system, excluded emissions from any gas turbine/HRSG system shall not exceed three hours in any 24-hour period.</w:t>
      </w:r>
    </w:p>
    <w:p w14:paraId="0646835C" w14:textId="11F583BD" w:rsidR="007740A2" w:rsidRDefault="007740A2" w:rsidP="00061DE9">
      <w:pPr>
        <w:pStyle w:val="ListParagraph"/>
        <w:numPr>
          <w:ilvl w:val="0"/>
          <w:numId w:val="42"/>
        </w:numPr>
        <w:contextualSpacing w:val="0"/>
        <w:rPr>
          <w:szCs w:val="22"/>
        </w:rPr>
      </w:pPr>
      <w:r w:rsidRPr="00C16FF6">
        <w:rPr>
          <w:i/>
          <w:iCs/>
          <w:szCs w:val="22"/>
        </w:rPr>
        <w:t>Fuel Switching</w:t>
      </w:r>
      <w:r w:rsidRPr="00C16FF6">
        <w:rPr>
          <w:szCs w:val="22"/>
        </w:rPr>
        <w:t>.  For fuel switching, excluded emissions shall not exceed two hours in any 24-hour period for each fuel switch and no more than four hours in any 24-hour period for any gas turbine/HRSG system.</w:t>
      </w:r>
    </w:p>
    <w:p w14:paraId="12CBA0A9" w14:textId="64675E0A" w:rsidR="007740A2" w:rsidRDefault="007740A2" w:rsidP="00061DE9">
      <w:pPr>
        <w:pStyle w:val="ListParagraph"/>
        <w:numPr>
          <w:ilvl w:val="0"/>
          <w:numId w:val="42"/>
        </w:numPr>
        <w:contextualSpacing w:val="0"/>
        <w:rPr>
          <w:szCs w:val="22"/>
        </w:rPr>
      </w:pPr>
      <w:bookmarkStart w:id="193" w:name="_Hlk520471048"/>
      <w:r w:rsidRPr="00C16FF6">
        <w:rPr>
          <w:i/>
          <w:szCs w:val="22"/>
        </w:rPr>
        <w:t>Documented Malfunction</w:t>
      </w:r>
      <w:r w:rsidRPr="00C16FF6">
        <w:rPr>
          <w:szCs w:val="22"/>
        </w:rPr>
        <w:t>:  For each gas turbine/HSRG system, excess emissions of NO</w:t>
      </w:r>
      <w:r w:rsidRPr="00C16FF6">
        <w:rPr>
          <w:szCs w:val="22"/>
          <w:vertAlign w:val="subscript"/>
        </w:rPr>
        <w:t>X</w:t>
      </w:r>
      <w:r w:rsidRPr="00C16FF6">
        <w:rPr>
          <w:szCs w:val="22"/>
        </w:rPr>
        <w:t xml:space="preserve"> and </w:t>
      </w:r>
      <w:r w:rsidRPr="008C0646">
        <w:rPr>
          <w:szCs w:val="22"/>
        </w:rPr>
        <w:t xml:space="preserve">CO </w:t>
      </w:r>
      <w:r w:rsidR="00E10B6E" w:rsidRPr="008C0646">
        <w:rPr>
          <w:szCs w:val="22"/>
        </w:rPr>
        <w:t>(if the option to use a CO CEMS is chosen)</w:t>
      </w:r>
      <w:r w:rsidRPr="008C0646">
        <w:rPr>
          <w:szCs w:val="22"/>
        </w:rPr>
        <w:t>resulting from documented malfunctions shall not exceed two hours in any 24-hour period.  A "documented malfunction</w:t>
      </w:r>
      <w:r w:rsidRPr="00C16FF6">
        <w:rPr>
          <w:szCs w:val="22"/>
        </w:rPr>
        <w:t>" means a malfunction that is documented within one working day of detection by contacting the Compliance Authority by telephone, facsimile transmittal, or electronic mail.</w:t>
      </w:r>
      <w:bookmarkEnd w:id="193"/>
    </w:p>
    <w:p w14:paraId="3BF2611C" w14:textId="54976D12" w:rsidR="007740A2" w:rsidRPr="008C0646" w:rsidRDefault="007740A2" w:rsidP="007740A2">
      <w:pPr>
        <w:pStyle w:val="ListParagraph"/>
        <w:spacing w:after="120"/>
        <w:ind w:left="360"/>
        <w:contextualSpacing w:val="0"/>
        <w:rPr>
          <w:szCs w:val="22"/>
        </w:rPr>
      </w:pPr>
      <w:r w:rsidRPr="008C0646">
        <w:rPr>
          <w:szCs w:val="22"/>
        </w:rPr>
        <w:t>Ammonia injection shall begin as soon as operation of the gas turbine/HRSG system achieves the operating parameters specified by the manufacturer.  As authorized by Rule 62-210.700(</w:t>
      </w:r>
      <w:r w:rsidR="00E10B6E" w:rsidRPr="008C0646">
        <w:rPr>
          <w:szCs w:val="22"/>
        </w:rPr>
        <w:t>4</w:t>
      </w:r>
      <w:r w:rsidRPr="008C0646">
        <w:rPr>
          <w:szCs w:val="22"/>
        </w:rPr>
        <w:t>), F.A.C., the above conditions allow excess emissions only for specifically defined periods of startup, shutdown, and documented malfunction of the gas turbines.  [Rules 62-212.400(BACT) &amp; 62-210.700, F.A.C.; and, Permit Nos. 0850001-010-AC/PSD-FL-327, 0850001-016-AC/PSD-FL-327B, 0850001-020-AC/PSD-FL-327C &amp; 0850001-032-AC</w:t>
      </w:r>
      <w:r w:rsidR="00E10B6E" w:rsidRPr="008C0646">
        <w:rPr>
          <w:szCs w:val="22"/>
        </w:rPr>
        <w:t>/</w:t>
      </w:r>
      <w:r w:rsidRPr="008C0646">
        <w:rPr>
          <w:szCs w:val="22"/>
        </w:rPr>
        <w:t>PSD-FL-146H</w:t>
      </w:r>
      <w:r w:rsidR="00E10B6E" w:rsidRPr="008C0646">
        <w:rPr>
          <w:szCs w:val="22"/>
        </w:rPr>
        <w:t xml:space="preserve"> &amp; </w:t>
      </w:r>
      <w:r w:rsidRPr="008C0646">
        <w:rPr>
          <w:szCs w:val="22"/>
        </w:rPr>
        <w:t>327F</w:t>
      </w:r>
      <w:r w:rsidR="00E10B6E" w:rsidRPr="008C0646">
        <w:rPr>
          <w:szCs w:val="22"/>
        </w:rPr>
        <w:t xml:space="preserve"> &amp; 0850001-041-AC/PSD-FL-146J &amp; 327G]</w:t>
      </w:r>
    </w:p>
    <w:p w14:paraId="7624145E" w14:textId="601CB13C" w:rsidR="004973DA" w:rsidRDefault="004973DA" w:rsidP="00061DE9">
      <w:pPr>
        <w:pStyle w:val="ListParagraph"/>
        <w:numPr>
          <w:ilvl w:val="0"/>
          <w:numId w:val="22"/>
        </w:numPr>
        <w:spacing w:after="120"/>
        <w:ind w:left="360"/>
        <w:contextualSpacing w:val="0"/>
        <w:rPr>
          <w:szCs w:val="22"/>
        </w:rPr>
      </w:pPr>
      <w:bookmarkStart w:id="194" w:name="_Ref503945513"/>
      <w:r w:rsidRPr="00C16FF6">
        <w:rPr>
          <w:szCs w:val="22"/>
          <w:u w:val="single"/>
        </w:rPr>
        <w:t>DLN Tuning/FSNL Testing</w:t>
      </w:r>
      <w:r w:rsidRPr="00C16FF6">
        <w:rPr>
          <w:szCs w:val="22"/>
        </w:rPr>
        <w:t>.  CEMS data collected during initial or other major DLN tuning sessions and during manufacturer required Full Speed No Load (FSNL) trip tests shall be excluded from the CEMS compliance demonstration provided the tuning session is performed in accordance with the manufacturer’s specifications.  A “major tuning session” would occur after completion of initial construction, a combustor change-out, a major repair or maintenance to a combustor, or other similar circumstances.  Prior to performing any major tuning session, the permittee shall provide the Compliance Authority with an advance notice of at least one working (business) day that details the activity and proposed tuning schedule.  The notice may be by telephone, facsimile transmittal, or electronic mail.  [Permit Nos. 0850001-010</w:t>
      </w:r>
      <w:r w:rsidR="00E9536F">
        <w:rPr>
          <w:szCs w:val="22"/>
        </w:rPr>
        <w:t>-AC/</w:t>
      </w:r>
      <w:r w:rsidRPr="00C16FF6">
        <w:rPr>
          <w:szCs w:val="22"/>
        </w:rPr>
        <w:t>PSD-FL-327 &amp; 0850001-032-AC (PSD-FL-146H/PSD-FL-327F)]</w:t>
      </w:r>
      <w:bookmarkEnd w:id="194"/>
    </w:p>
    <w:p w14:paraId="0D33F485" w14:textId="1245C115" w:rsidR="00820306" w:rsidRPr="00820306" w:rsidRDefault="00820306" w:rsidP="00061DE9">
      <w:pPr>
        <w:pStyle w:val="ListParagraph"/>
        <w:numPr>
          <w:ilvl w:val="0"/>
          <w:numId w:val="22"/>
        </w:numPr>
        <w:ind w:left="360"/>
        <w:contextualSpacing w:val="0"/>
        <w:rPr>
          <w:b/>
          <w:szCs w:val="22"/>
        </w:rPr>
      </w:pPr>
      <w:bookmarkStart w:id="195" w:name="_Hlk505246960"/>
      <w:bookmarkStart w:id="196" w:name="_Hlk508875980"/>
      <w:r w:rsidRPr="00820306">
        <w:rPr>
          <w:szCs w:val="22"/>
          <w:u w:val="single"/>
        </w:rPr>
        <w:t>NSPS Subpart KKKK Excess NO</w:t>
      </w:r>
      <w:r w:rsidRPr="00820306">
        <w:rPr>
          <w:szCs w:val="22"/>
          <w:u w:val="single"/>
          <w:vertAlign w:val="subscript"/>
        </w:rPr>
        <w:t>X</w:t>
      </w:r>
      <w:r w:rsidRPr="00820306">
        <w:rPr>
          <w:szCs w:val="22"/>
          <w:u w:val="single"/>
        </w:rPr>
        <w:t xml:space="preserve"> Emissions Definition</w:t>
      </w:r>
      <w:r w:rsidRPr="00820306">
        <w:rPr>
          <w:szCs w:val="22"/>
        </w:rPr>
        <w:t>.  Excess emissions for combined cycle operation are defined as follows:</w:t>
      </w:r>
      <w:bookmarkEnd w:id="195"/>
    </w:p>
    <w:p w14:paraId="1D3856BA" w14:textId="18ADCFC2" w:rsidR="00820306" w:rsidRPr="00820306" w:rsidRDefault="00820306" w:rsidP="00061DE9">
      <w:pPr>
        <w:numPr>
          <w:ilvl w:val="0"/>
          <w:numId w:val="101"/>
        </w:numPr>
        <w:spacing w:after="200" w:line="276" w:lineRule="auto"/>
        <w:ind w:left="720"/>
        <w:contextualSpacing/>
        <w:rPr>
          <w:rFonts w:eastAsia="Calibri"/>
          <w:szCs w:val="22"/>
        </w:rPr>
      </w:pPr>
      <w:bookmarkStart w:id="197" w:name="_Hlk505247002"/>
      <w:r w:rsidRPr="00820306">
        <w:rPr>
          <w:rFonts w:eastAsia="Calibri"/>
          <w:i/>
          <w:szCs w:val="22"/>
        </w:rPr>
        <w:t>Combined Cycle Operation.</w:t>
      </w:r>
      <w:r w:rsidRPr="00820306">
        <w:rPr>
          <w:rFonts w:eastAsia="Calibri"/>
          <w:szCs w:val="22"/>
        </w:rPr>
        <w:t xml:space="preserve">  For combined cycle operation, excess emissions are defined as any unit operating period in which the 30-day rolling average NO</w:t>
      </w:r>
      <w:r w:rsidRPr="00820306">
        <w:rPr>
          <w:rFonts w:eastAsia="Calibri"/>
          <w:szCs w:val="22"/>
          <w:vertAlign w:val="subscript"/>
        </w:rPr>
        <w:t>X</w:t>
      </w:r>
      <w:r w:rsidRPr="00820306">
        <w:rPr>
          <w:rFonts w:eastAsia="Calibri"/>
          <w:szCs w:val="22"/>
        </w:rPr>
        <w:t xml:space="preserve"> emission rate exceeds the applicable emission limit in 40 CFR 60.4320 (see Specific </w:t>
      </w:r>
      <w:r w:rsidRPr="00EA7AC3">
        <w:rPr>
          <w:rFonts w:eastAsia="Calibri"/>
          <w:szCs w:val="22"/>
        </w:rPr>
        <w:t xml:space="preserve">Condition </w:t>
      </w:r>
      <w:r w:rsidRPr="00EA7AC3">
        <w:rPr>
          <w:rFonts w:eastAsia="Calibri"/>
          <w:b/>
          <w:szCs w:val="22"/>
        </w:rPr>
        <w:fldChar w:fldCharType="begin"/>
      </w:r>
      <w:r w:rsidRPr="00EA7AC3">
        <w:rPr>
          <w:rFonts w:eastAsia="Calibri"/>
          <w:b/>
          <w:szCs w:val="22"/>
        </w:rPr>
        <w:instrText xml:space="preserve"> REF _Ref520451732 \r \h  \* MERGEFORMAT </w:instrText>
      </w:r>
      <w:r w:rsidRPr="00EA7AC3">
        <w:rPr>
          <w:rFonts w:eastAsia="Calibri"/>
          <w:b/>
          <w:szCs w:val="22"/>
        </w:rPr>
      </w:r>
      <w:r w:rsidRPr="00EA7AC3">
        <w:rPr>
          <w:rFonts w:eastAsia="Calibri"/>
          <w:b/>
          <w:szCs w:val="22"/>
        </w:rPr>
        <w:fldChar w:fldCharType="separate"/>
      </w:r>
      <w:r w:rsidR="00D31800">
        <w:rPr>
          <w:rFonts w:eastAsia="Calibri"/>
          <w:b/>
          <w:szCs w:val="22"/>
        </w:rPr>
        <w:t>D.8</w:t>
      </w:r>
      <w:r w:rsidRPr="00EA7AC3">
        <w:rPr>
          <w:rFonts w:eastAsia="Calibri"/>
          <w:b/>
          <w:szCs w:val="22"/>
        </w:rPr>
        <w:fldChar w:fldCharType="end"/>
      </w:r>
      <w:r>
        <w:rPr>
          <w:rFonts w:eastAsia="Calibri"/>
          <w:szCs w:val="22"/>
        </w:rPr>
        <w:t>)</w:t>
      </w:r>
      <w:r w:rsidRPr="00820306">
        <w:rPr>
          <w:rFonts w:eastAsia="Calibri"/>
          <w:szCs w:val="22"/>
        </w:rPr>
        <w:t>.  A “30-day rolling average NO</w:t>
      </w:r>
      <w:r w:rsidRPr="00820306">
        <w:rPr>
          <w:rFonts w:eastAsia="Calibri"/>
          <w:szCs w:val="22"/>
          <w:vertAlign w:val="subscript"/>
        </w:rPr>
        <w:t>X</w:t>
      </w:r>
      <w:r w:rsidRPr="00820306">
        <w:rPr>
          <w:rFonts w:eastAsia="Calibri"/>
          <w:szCs w:val="22"/>
        </w:rPr>
        <w:t xml:space="preserve"> emission rate” is the arithmetic average of all hourly NO</w:t>
      </w:r>
      <w:r w:rsidRPr="00820306">
        <w:rPr>
          <w:rFonts w:eastAsia="Calibri"/>
          <w:szCs w:val="22"/>
          <w:vertAlign w:val="subscript"/>
        </w:rPr>
        <w:t>X</w:t>
      </w:r>
      <w:r w:rsidRPr="00820306">
        <w:rPr>
          <w:rFonts w:eastAsia="Calibri"/>
          <w:szCs w:val="22"/>
        </w:rPr>
        <w:t xml:space="preserve"> emission data in ppm or ng/J (lb/MWh) measured by the CEMS for a given day and the 29 unit operating days immediately preceding that unit operating day.  A new 30-day average is calculated each unit operating day as the average of all hourly NO</w:t>
      </w:r>
      <w:r w:rsidRPr="00820306">
        <w:rPr>
          <w:rFonts w:eastAsia="Calibri"/>
          <w:szCs w:val="22"/>
          <w:vertAlign w:val="subscript"/>
        </w:rPr>
        <w:t>X</w:t>
      </w:r>
      <w:r w:rsidRPr="00820306">
        <w:rPr>
          <w:rFonts w:eastAsia="Calibri"/>
          <w:szCs w:val="22"/>
        </w:rPr>
        <w:t xml:space="preserve"> emissions rates for the preceding 30 unit operating days if a valid NO</w:t>
      </w:r>
      <w:r w:rsidRPr="00820306">
        <w:rPr>
          <w:rFonts w:eastAsia="Calibri"/>
          <w:szCs w:val="22"/>
          <w:vertAlign w:val="subscript"/>
        </w:rPr>
        <w:t>X</w:t>
      </w:r>
      <w:r w:rsidRPr="00820306">
        <w:rPr>
          <w:rFonts w:eastAsia="Calibri"/>
          <w:szCs w:val="22"/>
        </w:rPr>
        <w:t xml:space="preserve"> emission rate is obtained for at least 75% of all operating hours.</w:t>
      </w:r>
      <w:bookmarkEnd w:id="197"/>
    </w:p>
    <w:p w14:paraId="1563F131" w14:textId="77777777" w:rsidR="00820306" w:rsidRPr="00820306" w:rsidRDefault="00820306" w:rsidP="00061DE9">
      <w:pPr>
        <w:numPr>
          <w:ilvl w:val="0"/>
          <w:numId w:val="101"/>
        </w:numPr>
        <w:spacing w:after="200" w:line="276" w:lineRule="auto"/>
        <w:ind w:left="720"/>
        <w:contextualSpacing/>
        <w:rPr>
          <w:rFonts w:eastAsia="Calibri"/>
          <w:szCs w:val="22"/>
        </w:rPr>
      </w:pPr>
      <w:bookmarkStart w:id="198" w:name="_Hlk505247017"/>
      <w:r w:rsidRPr="00820306">
        <w:rPr>
          <w:rFonts w:eastAsia="Calibri"/>
          <w:szCs w:val="22"/>
        </w:rPr>
        <w:t>For operating periods during which multiple emissions standards apply, the applicable standard is the average of the applicable standards during each hour.  For hours with multiple emissions standards, the applicable limit for that hour is determined based on the condition that corresponded to the highest emissions standard.</w:t>
      </w:r>
      <w:bookmarkEnd w:id="198"/>
    </w:p>
    <w:p w14:paraId="3628B38D" w14:textId="62D81041" w:rsidR="00820306" w:rsidRDefault="00820306" w:rsidP="00820306">
      <w:pPr>
        <w:tabs>
          <w:tab w:val="left" w:pos="8341"/>
        </w:tabs>
        <w:spacing w:after="120" w:line="276" w:lineRule="auto"/>
        <w:ind w:left="360"/>
        <w:rPr>
          <w:rFonts w:eastAsia="Calibri"/>
          <w:szCs w:val="22"/>
        </w:rPr>
      </w:pPr>
      <w:bookmarkStart w:id="199" w:name="_Hlk505247088"/>
      <w:r w:rsidRPr="00820306">
        <w:rPr>
          <w:rFonts w:eastAsia="Calibri"/>
          <w:szCs w:val="22"/>
        </w:rPr>
        <w:t>[40 CFR 60.4350(h), 60.4380(b)(1) &amp; (3)]</w:t>
      </w:r>
      <w:bookmarkEnd w:id="196"/>
      <w:bookmarkEnd w:id="199"/>
    </w:p>
    <w:p w14:paraId="2CD5A77F" w14:textId="20522C0B" w:rsidR="00820306" w:rsidRPr="00820306" w:rsidRDefault="00820306" w:rsidP="00820306">
      <w:pPr>
        <w:tabs>
          <w:tab w:val="left" w:pos="8341"/>
        </w:tabs>
        <w:spacing w:after="120" w:line="276" w:lineRule="auto"/>
        <w:ind w:left="360"/>
        <w:rPr>
          <w:rFonts w:eastAsia="Calibri"/>
          <w:szCs w:val="22"/>
        </w:rPr>
      </w:pPr>
      <w:bookmarkStart w:id="200" w:name="_Hlk505247253"/>
      <w:r w:rsidRPr="00856C8E">
        <w:rPr>
          <w:i/>
        </w:rPr>
        <w:t>{Permitting Note:  If the permittee wishes to comply with the output-based standards in NSPS Subpart KKKK, the equations in 40 CFR 60.4350(f) shall be used to assess excess emissions on a 30 unit operating day rolling average for combined cycle operation (see Appendix NSPS Subpart KKKK)}</w:t>
      </w:r>
      <w:bookmarkEnd w:id="200"/>
      <w:r w:rsidRPr="00856C8E">
        <w:rPr>
          <w:i/>
        </w:rPr>
        <w:t>.</w:t>
      </w:r>
    </w:p>
    <w:p w14:paraId="6A2C06E8" w14:textId="5E7D7A02" w:rsidR="00820306" w:rsidRPr="00820306" w:rsidRDefault="00820306" w:rsidP="00061DE9">
      <w:pPr>
        <w:pStyle w:val="ListParagraph"/>
        <w:numPr>
          <w:ilvl w:val="0"/>
          <w:numId w:val="22"/>
        </w:numPr>
        <w:spacing w:after="120"/>
        <w:ind w:left="360"/>
        <w:contextualSpacing w:val="0"/>
        <w:rPr>
          <w:szCs w:val="22"/>
        </w:rPr>
      </w:pPr>
      <w:bookmarkStart w:id="201" w:name="_Hlk505247298"/>
      <w:r w:rsidRPr="00856C8E">
        <w:rPr>
          <w:u w:val="single"/>
        </w:rPr>
        <w:t>NSPS Subpart KKKK Monitor Downtime Definition</w:t>
      </w:r>
      <w:r w:rsidRPr="00856C8E">
        <w:t>.  For the purposes of demonstrating compliance with NSPS Subpart KKKK, a period of monitor downtime is any unit operating hour in which the data for any of the following parameters are missing or invalid:  NO</w:t>
      </w:r>
      <w:r w:rsidRPr="00856C8E">
        <w:rPr>
          <w:vertAlign w:val="subscript"/>
        </w:rPr>
        <w:t>X</w:t>
      </w:r>
      <w:r w:rsidRPr="00856C8E">
        <w:t xml:space="preserve"> concentration, CO</w:t>
      </w:r>
      <w:r w:rsidRPr="00856C8E">
        <w:rPr>
          <w:vertAlign w:val="subscript"/>
        </w:rPr>
        <w:t>2</w:t>
      </w:r>
      <w:r w:rsidRPr="00856C8E">
        <w:t xml:space="preserve"> or O</w:t>
      </w:r>
      <w:r w:rsidRPr="00856C8E">
        <w:rPr>
          <w:vertAlign w:val="subscript"/>
        </w:rPr>
        <w:t>2</w:t>
      </w:r>
      <w:r w:rsidRPr="00856C8E">
        <w:t xml:space="preserve"> concentration, fuel flow rate, steam flow rate, steam temperature, steam pressure, or megawatts.  The steam flow rate, steam temperature, and steam pressure are only required if this information will be used for compliance purposes.  [40 CFR 60.4380(b)(2)]</w:t>
      </w:r>
      <w:bookmarkEnd w:id="201"/>
    </w:p>
    <w:p w14:paraId="56D96BC1" w14:textId="77777777" w:rsidR="00820306" w:rsidRPr="00820306" w:rsidRDefault="00820306" w:rsidP="00061DE9">
      <w:pPr>
        <w:pStyle w:val="ListParagraph"/>
        <w:numPr>
          <w:ilvl w:val="0"/>
          <w:numId w:val="22"/>
        </w:numPr>
        <w:ind w:left="360"/>
        <w:contextualSpacing w:val="0"/>
        <w:rPr>
          <w:b/>
          <w:szCs w:val="22"/>
        </w:rPr>
      </w:pPr>
      <w:bookmarkStart w:id="202" w:name="_Hlk504136648"/>
      <w:r w:rsidRPr="00820306">
        <w:rPr>
          <w:szCs w:val="22"/>
          <w:u w:val="single"/>
        </w:rPr>
        <w:t>NSPS Subpart KKKK Excess NO</w:t>
      </w:r>
      <w:r w:rsidRPr="00820306">
        <w:rPr>
          <w:szCs w:val="22"/>
          <w:u w:val="single"/>
          <w:vertAlign w:val="subscript"/>
        </w:rPr>
        <w:t>X</w:t>
      </w:r>
      <w:r w:rsidRPr="00820306">
        <w:rPr>
          <w:szCs w:val="22"/>
          <w:u w:val="single"/>
        </w:rPr>
        <w:t xml:space="preserve"> Emissions Identification</w:t>
      </w:r>
      <w:r w:rsidRPr="00820306">
        <w:rPr>
          <w:szCs w:val="22"/>
        </w:rPr>
        <w:t>.  For the purpose of identifying excess emissions with respect to NSPS Subpart KKKK NO</w:t>
      </w:r>
      <w:r w:rsidRPr="00820306">
        <w:rPr>
          <w:szCs w:val="22"/>
          <w:vertAlign w:val="subscript"/>
        </w:rPr>
        <w:t>X</w:t>
      </w:r>
      <w:r w:rsidRPr="00820306">
        <w:rPr>
          <w:szCs w:val="22"/>
        </w:rPr>
        <w:t xml:space="preserve"> emissions standards:</w:t>
      </w:r>
      <w:bookmarkEnd w:id="202"/>
    </w:p>
    <w:p w14:paraId="6E07A88C" w14:textId="0205D355" w:rsidR="00820306" w:rsidRPr="00820306" w:rsidRDefault="00820306" w:rsidP="00061DE9">
      <w:pPr>
        <w:numPr>
          <w:ilvl w:val="0"/>
          <w:numId w:val="102"/>
        </w:numPr>
        <w:spacing w:after="120" w:line="276" w:lineRule="auto"/>
        <w:contextualSpacing/>
        <w:rPr>
          <w:rFonts w:eastAsia="Calibri"/>
          <w:szCs w:val="22"/>
        </w:rPr>
      </w:pPr>
      <w:bookmarkStart w:id="203" w:name="_Hlk504136716"/>
      <w:r w:rsidRPr="00820306">
        <w:rPr>
          <w:rFonts w:eastAsia="Calibri"/>
          <w:szCs w:val="22"/>
        </w:rPr>
        <w:t xml:space="preserve">All CEMS data must be reduced to hourly averages as specified in paragraph </w:t>
      </w:r>
      <w:r w:rsidR="005538FF" w:rsidRPr="005538FF">
        <w:rPr>
          <w:rFonts w:eastAsia="Calibri"/>
          <w:b/>
          <w:szCs w:val="22"/>
        </w:rPr>
        <w:fldChar w:fldCharType="begin"/>
      </w:r>
      <w:r w:rsidR="005538FF" w:rsidRPr="005538FF">
        <w:rPr>
          <w:rFonts w:eastAsia="Calibri"/>
          <w:b/>
          <w:szCs w:val="22"/>
        </w:rPr>
        <w:instrText xml:space="preserve"> REF _Ref503867946 \r \h </w:instrText>
      </w:r>
      <w:r w:rsidR="005538FF">
        <w:rPr>
          <w:rFonts w:eastAsia="Calibri"/>
          <w:b/>
          <w:szCs w:val="22"/>
        </w:rPr>
        <w:instrText xml:space="preserve"> \* MERGEFORMAT </w:instrText>
      </w:r>
      <w:r w:rsidR="005538FF" w:rsidRPr="005538FF">
        <w:rPr>
          <w:rFonts w:eastAsia="Calibri"/>
          <w:b/>
          <w:szCs w:val="22"/>
        </w:rPr>
      </w:r>
      <w:r w:rsidR="005538FF" w:rsidRPr="005538FF">
        <w:rPr>
          <w:rFonts w:eastAsia="Calibri"/>
          <w:b/>
          <w:szCs w:val="22"/>
        </w:rPr>
        <w:fldChar w:fldCharType="separate"/>
      </w:r>
      <w:r w:rsidR="00D31800">
        <w:rPr>
          <w:rFonts w:eastAsia="Calibri"/>
          <w:b/>
          <w:szCs w:val="22"/>
        </w:rPr>
        <w:t>a</w:t>
      </w:r>
      <w:r w:rsidR="005538FF" w:rsidRPr="005538FF">
        <w:rPr>
          <w:rFonts w:eastAsia="Calibri"/>
          <w:b/>
          <w:szCs w:val="22"/>
        </w:rPr>
        <w:fldChar w:fldCharType="end"/>
      </w:r>
      <w:r w:rsidR="005538FF">
        <w:rPr>
          <w:rFonts w:eastAsia="Calibri"/>
          <w:szCs w:val="22"/>
        </w:rPr>
        <w:t xml:space="preserve"> </w:t>
      </w:r>
      <w:r w:rsidRPr="00820306">
        <w:rPr>
          <w:rFonts w:eastAsia="Calibri"/>
          <w:szCs w:val="22"/>
        </w:rPr>
        <w:t>of Specific Condition</w:t>
      </w:r>
      <w:r w:rsidR="005538FF">
        <w:rPr>
          <w:rFonts w:eastAsia="Calibri"/>
          <w:szCs w:val="22"/>
        </w:rPr>
        <w:t xml:space="preserve"> </w:t>
      </w:r>
      <w:r w:rsidR="005538FF" w:rsidRPr="00EA7AC3">
        <w:rPr>
          <w:rFonts w:eastAsia="Calibri"/>
          <w:b/>
          <w:szCs w:val="22"/>
        </w:rPr>
        <w:fldChar w:fldCharType="begin"/>
      </w:r>
      <w:r w:rsidR="005538FF" w:rsidRPr="00EA7AC3">
        <w:rPr>
          <w:rFonts w:eastAsia="Calibri"/>
          <w:b/>
          <w:szCs w:val="22"/>
        </w:rPr>
        <w:instrText xml:space="preserve"> REF _Ref503867942 \r \h  \* MERGEFORMAT </w:instrText>
      </w:r>
      <w:r w:rsidR="005538FF" w:rsidRPr="00EA7AC3">
        <w:rPr>
          <w:rFonts w:eastAsia="Calibri"/>
          <w:b/>
          <w:szCs w:val="22"/>
        </w:rPr>
      </w:r>
      <w:r w:rsidR="005538FF" w:rsidRPr="00EA7AC3">
        <w:rPr>
          <w:rFonts w:eastAsia="Calibri"/>
          <w:b/>
          <w:szCs w:val="22"/>
        </w:rPr>
        <w:fldChar w:fldCharType="separate"/>
      </w:r>
      <w:r w:rsidR="00D31800">
        <w:rPr>
          <w:rFonts w:eastAsia="Calibri"/>
          <w:b/>
          <w:szCs w:val="22"/>
        </w:rPr>
        <w:t>D.23</w:t>
      </w:r>
      <w:r w:rsidR="005538FF" w:rsidRPr="00EA7AC3">
        <w:rPr>
          <w:rFonts w:eastAsia="Calibri"/>
          <w:b/>
          <w:szCs w:val="22"/>
        </w:rPr>
        <w:fldChar w:fldCharType="end"/>
      </w:r>
      <w:r w:rsidR="005538FF">
        <w:rPr>
          <w:rFonts w:eastAsia="Calibri"/>
          <w:szCs w:val="22"/>
        </w:rPr>
        <w:t>.</w:t>
      </w:r>
    </w:p>
    <w:p w14:paraId="36DA071C" w14:textId="77777777" w:rsidR="00820306" w:rsidRPr="00820306" w:rsidRDefault="00820306" w:rsidP="00061DE9">
      <w:pPr>
        <w:numPr>
          <w:ilvl w:val="0"/>
          <w:numId w:val="102"/>
        </w:numPr>
        <w:spacing w:after="120" w:line="276" w:lineRule="auto"/>
        <w:contextualSpacing/>
        <w:rPr>
          <w:rFonts w:eastAsia="Calibri"/>
          <w:szCs w:val="22"/>
        </w:rPr>
      </w:pPr>
      <w:bookmarkStart w:id="204" w:name="_Hlk504136777"/>
      <w:bookmarkEnd w:id="203"/>
      <w:r w:rsidRPr="00820306">
        <w:rPr>
          <w:rFonts w:eastAsia="Calibri"/>
          <w:szCs w:val="22"/>
        </w:rPr>
        <w:t>For each unit operating hour in which a valid hourly average, as described in 40 CFR 60.4345(b) (See Appendix NSPS Subpart KKKK), is obtained for both NO</w:t>
      </w:r>
      <w:r w:rsidRPr="00820306">
        <w:rPr>
          <w:rFonts w:eastAsia="Calibri"/>
          <w:szCs w:val="22"/>
          <w:vertAlign w:val="subscript"/>
        </w:rPr>
        <w:t>X</w:t>
      </w:r>
      <w:r w:rsidRPr="00820306">
        <w:rPr>
          <w:rFonts w:eastAsia="Calibri"/>
          <w:szCs w:val="22"/>
        </w:rPr>
        <w:t xml:space="preserve"> and diluent monitors, the data acquisition and handling system must calculate and record the hourly NO</w:t>
      </w:r>
      <w:r w:rsidRPr="00820306">
        <w:rPr>
          <w:rFonts w:eastAsia="Calibri"/>
          <w:szCs w:val="22"/>
          <w:vertAlign w:val="subscript"/>
        </w:rPr>
        <w:t>X</w:t>
      </w:r>
      <w:r w:rsidRPr="00820306">
        <w:rPr>
          <w:rFonts w:eastAsia="Calibri"/>
          <w:szCs w:val="22"/>
        </w:rPr>
        <w:t xml:space="preserve"> emission rate in units of ppm or lb/MMBtu, using the appropriate equation from method 19 in appendix A of 40 CFR 60.  For any hour in which the hourly average O</w:t>
      </w:r>
      <w:r w:rsidRPr="00820306">
        <w:rPr>
          <w:rFonts w:eastAsia="Calibri"/>
          <w:szCs w:val="22"/>
          <w:vertAlign w:val="subscript"/>
        </w:rPr>
        <w:t>2</w:t>
      </w:r>
      <w:r w:rsidRPr="00820306">
        <w:rPr>
          <w:rFonts w:eastAsia="Calibri"/>
          <w:szCs w:val="22"/>
        </w:rPr>
        <w:t xml:space="preserve"> concentration exceeds 19.0% O</w:t>
      </w:r>
      <w:r w:rsidRPr="00820306">
        <w:rPr>
          <w:rFonts w:eastAsia="Calibri"/>
          <w:szCs w:val="22"/>
          <w:vertAlign w:val="subscript"/>
        </w:rPr>
        <w:t>2</w:t>
      </w:r>
      <w:r w:rsidRPr="00820306">
        <w:rPr>
          <w:rFonts w:eastAsia="Calibri"/>
          <w:szCs w:val="22"/>
        </w:rPr>
        <w:t xml:space="preserve"> (or the hourly average CO</w:t>
      </w:r>
      <w:r w:rsidRPr="00820306">
        <w:rPr>
          <w:rFonts w:eastAsia="Calibri"/>
          <w:szCs w:val="22"/>
          <w:vertAlign w:val="subscript"/>
        </w:rPr>
        <w:t>2</w:t>
      </w:r>
      <w:r w:rsidRPr="00820306">
        <w:rPr>
          <w:rFonts w:eastAsia="Calibri"/>
          <w:szCs w:val="22"/>
        </w:rPr>
        <w:t xml:space="preserve"> concentration is less than 1.0% CO</w:t>
      </w:r>
      <w:r w:rsidRPr="00820306">
        <w:rPr>
          <w:rFonts w:eastAsia="Calibri"/>
          <w:szCs w:val="22"/>
          <w:vertAlign w:val="subscript"/>
        </w:rPr>
        <w:t>2</w:t>
      </w:r>
      <w:r w:rsidRPr="00820306">
        <w:rPr>
          <w:rFonts w:eastAsia="Calibri"/>
          <w:szCs w:val="22"/>
        </w:rPr>
        <w:t>), a diluent cap value of 19.0% O</w:t>
      </w:r>
      <w:r w:rsidRPr="00820306">
        <w:rPr>
          <w:rFonts w:eastAsia="Calibri"/>
          <w:szCs w:val="22"/>
          <w:vertAlign w:val="subscript"/>
        </w:rPr>
        <w:t>2</w:t>
      </w:r>
      <w:r w:rsidRPr="00820306">
        <w:rPr>
          <w:rFonts w:eastAsia="Calibri"/>
          <w:szCs w:val="22"/>
        </w:rPr>
        <w:t xml:space="preserve"> or 1.0% CO</w:t>
      </w:r>
      <w:r w:rsidRPr="00820306">
        <w:rPr>
          <w:rFonts w:eastAsia="Calibri"/>
          <w:szCs w:val="22"/>
          <w:vertAlign w:val="subscript"/>
        </w:rPr>
        <w:t>2</w:t>
      </w:r>
      <w:r w:rsidRPr="00820306">
        <w:rPr>
          <w:rFonts w:eastAsia="Calibri"/>
          <w:szCs w:val="22"/>
        </w:rPr>
        <w:t xml:space="preserve"> (as applicable) may be used in the emission calculations.</w:t>
      </w:r>
      <w:bookmarkEnd w:id="204"/>
    </w:p>
    <w:p w14:paraId="654F8793" w14:textId="77777777" w:rsidR="00820306" w:rsidRPr="00820306" w:rsidRDefault="00820306" w:rsidP="00061DE9">
      <w:pPr>
        <w:numPr>
          <w:ilvl w:val="0"/>
          <w:numId w:val="102"/>
        </w:numPr>
        <w:spacing w:after="120" w:line="276" w:lineRule="auto"/>
        <w:contextualSpacing/>
        <w:rPr>
          <w:rFonts w:eastAsia="Calibri"/>
          <w:szCs w:val="22"/>
        </w:rPr>
      </w:pPr>
      <w:bookmarkStart w:id="205" w:name="_Hlk504136799"/>
      <w:r w:rsidRPr="00820306">
        <w:rPr>
          <w:rFonts w:eastAsia="Calibri"/>
          <w:szCs w:val="22"/>
        </w:rPr>
        <w:t>Correction of measured NO</w:t>
      </w:r>
      <w:r w:rsidRPr="00820306">
        <w:rPr>
          <w:rFonts w:eastAsia="Calibri"/>
          <w:szCs w:val="22"/>
          <w:vertAlign w:val="subscript"/>
        </w:rPr>
        <w:t>X</w:t>
      </w:r>
      <w:r w:rsidRPr="00820306">
        <w:rPr>
          <w:rFonts w:eastAsia="Calibri"/>
          <w:szCs w:val="22"/>
        </w:rPr>
        <w:t xml:space="preserve"> concentrations to 15% O</w:t>
      </w:r>
      <w:r w:rsidRPr="00820306">
        <w:rPr>
          <w:rFonts w:eastAsia="Calibri"/>
          <w:szCs w:val="22"/>
          <w:vertAlign w:val="subscript"/>
        </w:rPr>
        <w:t>2</w:t>
      </w:r>
      <w:r w:rsidRPr="00820306">
        <w:rPr>
          <w:rFonts w:eastAsia="Calibri"/>
          <w:szCs w:val="22"/>
        </w:rPr>
        <w:t xml:space="preserve"> is not allowed.</w:t>
      </w:r>
      <w:bookmarkEnd w:id="205"/>
    </w:p>
    <w:p w14:paraId="3710FA67" w14:textId="77777777" w:rsidR="00820306" w:rsidRPr="00820306" w:rsidRDefault="00820306" w:rsidP="00061DE9">
      <w:pPr>
        <w:numPr>
          <w:ilvl w:val="0"/>
          <w:numId w:val="102"/>
        </w:numPr>
        <w:spacing w:line="276" w:lineRule="auto"/>
        <w:contextualSpacing/>
        <w:rPr>
          <w:rFonts w:eastAsia="Calibri"/>
          <w:szCs w:val="22"/>
        </w:rPr>
      </w:pPr>
      <w:bookmarkStart w:id="206" w:name="_Hlk504136818"/>
      <w:r w:rsidRPr="00820306">
        <w:rPr>
          <w:rFonts w:eastAsia="Calibri"/>
          <w:szCs w:val="22"/>
        </w:rPr>
        <w:t>All required fuel flow rate, steam flow rate, temperature, pressure, and megawatt data must be reduced to hourly averages.</w:t>
      </w:r>
      <w:bookmarkEnd w:id="206"/>
    </w:p>
    <w:p w14:paraId="2C1A9DDF" w14:textId="5B3D9F29" w:rsidR="00820306" w:rsidRDefault="00820306" w:rsidP="00820306">
      <w:pPr>
        <w:pStyle w:val="ListParagraph"/>
        <w:spacing w:after="120"/>
        <w:ind w:left="360"/>
        <w:contextualSpacing w:val="0"/>
      </w:pPr>
      <w:r w:rsidRPr="00820306">
        <w:t>[40 CFR 60.4350(a) – (e)]</w:t>
      </w:r>
    </w:p>
    <w:p w14:paraId="7F54C810" w14:textId="77777777" w:rsidR="00820306" w:rsidRPr="00820306" w:rsidRDefault="00820306" w:rsidP="00820306">
      <w:pPr>
        <w:tabs>
          <w:tab w:val="left" w:pos="0"/>
        </w:tabs>
        <w:suppressAutoHyphens/>
        <w:spacing w:before="120" w:after="120"/>
        <w:ind w:left="360" w:hanging="360"/>
        <w:rPr>
          <w:b/>
          <w:szCs w:val="22"/>
          <w:u w:val="single"/>
        </w:rPr>
      </w:pPr>
      <w:r w:rsidRPr="00820306">
        <w:rPr>
          <w:b/>
          <w:szCs w:val="22"/>
          <w:u w:val="single"/>
        </w:rPr>
        <w:t>Monitoring of Operations</w:t>
      </w:r>
    </w:p>
    <w:p w14:paraId="54E85A5A" w14:textId="04D8C2DD" w:rsidR="00820306" w:rsidRDefault="00820306" w:rsidP="00061DE9">
      <w:pPr>
        <w:pStyle w:val="ListParagraph"/>
        <w:numPr>
          <w:ilvl w:val="0"/>
          <w:numId w:val="22"/>
        </w:numPr>
        <w:spacing w:after="120"/>
        <w:ind w:left="360"/>
        <w:contextualSpacing w:val="0"/>
      </w:pPr>
      <w:r w:rsidRPr="00820306">
        <w:rPr>
          <w:szCs w:val="22"/>
          <w:u w:val="single"/>
        </w:rPr>
        <w:t>Ammonia Monitoring Requirements</w:t>
      </w:r>
      <w:r w:rsidRPr="00820306">
        <w:rPr>
          <w:szCs w:val="22"/>
        </w:rPr>
        <w:t>.  In accordance with the manufacturer’s specifications, the permittee shall calibrate, operate and maintain an ammonia flow meter to measure and record the ammonia injection rate to the SCR system.  The permittee shall document the general range of ammonia flow rates required to meet permitted emissions levels over the range of load conditions allowed by this permit by comparing NO</w:t>
      </w:r>
      <w:r w:rsidRPr="00820306">
        <w:rPr>
          <w:szCs w:val="22"/>
          <w:vertAlign w:val="subscript"/>
        </w:rPr>
        <w:t>X</w:t>
      </w:r>
      <w:r w:rsidRPr="00820306">
        <w:rPr>
          <w:szCs w:val="22"/>
        </w:rPr>
        <w:t xml:space="preserve"> emissions recorded by the CEM system with ammonia flow rates recorded using the ammonia flow meter.  During NO</w:t>
      </w:r>
      <w:r w:rsidRPr="00820306">
        <w:rPr>
          <w:szCs w:val="22"/>
          <w:vertAlign w:val="subscript"/>
        </w:rPr>
        <w:t>X</w:t>
      </w:r>
      <w:r w:rsidRPr="00820306">
        <w:rPr>
          <w:szCs w:val="22"/>
        </w:rPr>
        <w:t xml:space="preserve"> monitor downtimes or malfunctions, the permittee shall operate at the ammonia flow rate that is consistent with the documented flow rate for the CT load condition.  [Permit No. 0850001-010-AC</w:t>
      </w:r>
      <w:r w:rsidR="00061DE9" w:rsidRPr="00EA7AC3">
        <w:rPr>
          <w:szCs w:val="22"/>
        </w:rPr>
        <w:t>/</w:t>
      </w:r>
      <w:r w:rsidRPr="00EA7AC3">
        <w:rPr>
          <w:szCs w:val="22"/>
        </w:rPr>
        <w:t>PSD-FL-327]</w:t>
      </w:r>
    </w:p>
    <w:p w14:paraId="1ABBB5DE" w14:textId="08BEE919" w:rsidR="00820306" w:rsidRPr="00EA7AC3" w:rsidRDefault="00820306" w:rsidP="00061DE9">
      <w:pPr>
        <w:pStyle w:val="ListParagraph"/>
        <w:numPr>
          <w:ilvl w:val="0"/>
          <w:numId w:val="22"/>
        </w:numPr>
        <w:spacing w:after="120"/>
        <w:ind w:left="360"/>
        <w:contextualSpacing w:val="0"/>
        <w:rPr>
          <w:szCs w:val="22"/>
        </w:rPr>
      </w:pPr>
      <w:r w:rsidRPr="00EA7AC3">
        <w:rPr>
          <w:szCs w:val="22"/>
          <w:u w:val="single"/>
        </w:rPr>
        <w:t>Water Injection Monitoring Requirements</w:t>
      </w:r>
      <w:r w:rsidRPr="00EA7AC3">
        <w:rPr>
          <w:szCs w:val="22"/>
        </w:rPr>
        <w:t>.  In accordance with the manufacturer’s specifications, the permittee shall calibrate, operate and maintain a monitoring system to continuously measure and record the water-to-fuel ratio when firing distillate oil.  The permittee shall document the water-to-fuel ratio required to meet permitted emissions levels over the range of load conditions allowed by this permit.  The NO</w:t>
      </w:r>
      <w:r w:rsidRPr="00EA7AC3">
        <w:rPr>
          <w:szCs w:val="22"/>
          <w:vertAlign w:val="subscript"/>
        </w:rPr>
        <w:t>X</w:t>
      </w:r>
      <w:r w:rsidRPr="00EA7AC3">
        <w:rPr>
          <w:szCs w:val="22"/>
        </w:rPr>
        <w:t xml:space="preserve"> CEMS is used to demonstrate compliance with the NO</w:t>
      </w:r>
      <w:r w:rsidRPr="00EA7AC3">
        <w:rPr>
          <w:szCs w:val="22"/>
          <w:vertAlign w:val="subscript"/>
        </w:rPr>
        <w:t xml:space="preserve">X </w:t>
      </w:r>
      <w:r w:rsidRPr="00EA7AC3">
        <w:rPr>
          <w:szCs w:val="22"/>
        </w:rPr>
        <w:t>emissions standards.  During NO</w:t>
      </w:r>
      <w:r w:rsidRPr="00EA7AC3">
        <w:rPr>
          <w:szCs w:val="22"/>
          <w:vertAlign w:val="subscript"/>
        </w:rPr>
        <w:t>X</w:t>
      </w:r>
      <w:r w:rsidRPr="00EA7AC3">
        <w:rPr>
          <w:szCs w:val="22"/>
        </w:rPr>
        <w:t xml:space="preserve"> CEMS downtimes or malfunctions, the permittee shall monitor the water-to-fuel ratio and operate at a level that is consistent with the documented flow rate for the gas turbine load condition.  </w:t>
      </w:r>
      <w:r w:rsidRPr="00EA7AC3">
        <w:rPr>
          <w:i/>
          <w:iCs/>
          <w:szCs w:val="22"/>
        </w:rPr>
        <w:t>{Note:  The actual water-to-fuel ratio will vary depending on operating conditions and load.}</w:t>
      </w:r>
      <w:r w:rsidRPr="00EA7AC3">
        <w:rPr>
          <w:szCs w:val="22"/>
        </w:rPr>
        <w:t xml:space="preserve">  [Rule 62-212.400(BACT), F.A.C. and</w:t>
      </w:r>
      <w:r w:rsidR="005538FF" w:rsidRPr="00EA7AC3">
        <w:rPr>
          <w:szCs w:val="22"/>
        </w:rPr>
        <w:t>,</w:t>
      </w:r>
      <w:r w:rsidRPr="00EA7AC3">
        <w:rPr>
          <w:szCs w:val="22"/>
        </w:rPr>
        <w:t xml:space="preserve"> Permit No. 0850001-010-AC</w:t>
      </w:r>
      <w:r w:rsidR="005538FF" w:rsidRPr="00EA7AC3">
        <w:rPr>
          <w:szCs w:val="22"/>
        </w:rPr>
        <w:t>/0</w:t>
      </w:r>
      <w:r w:rsidRPr="00EA7AC3">
        <w:rPr>
          <w:szCs w:val="22"/>
        </w:rPr>
        <w:t>PSD-FL-327]</w:t>
      </w:r>
    </w:p>
    <w:p w14:paraId="699B2FB8" w14:textId="26F3F2D4" w:rsidR="00F348E5" w:rsidRPr="00EA7AC3" w:rsidRDefault="00F348E5" w:rsidP="00F348E5">
      <w:pPr>
        <w:pStyle w:val="ListParagraph"/>
        <w:spacing w:after="120"/>
        <w:ind w:left="0"/>
        <w:contextualSpacing w:val="0"/>
        <w:rPr>
          <w:b/>
          <w:szCs w:val="22"/>
          <w:u w:val="single"/>
        </w:rPr>
      </w:pPr>
      <w:r w:rsidRPr="00EA7AC3">
        <w:rPr>
          <w:b/>
          <w:szCs w:val="22"/>
          <w:u w:val="single"/>
        </w:rPr>
        <w:t>Continuous</w:t>
      </w:r>
      <w:r w:rsidR="00D028E5" w:rsidRPr="00EA7AC3">
        <w:rPr>
          <w:b/>
          <w:szCs w:val="22"/>
          <w:u w:val="single"/>
        </w:rPr>
        <w:t xml:space="preserve"> Emissions</w:t>
      </w:r>
      <w:r w:rsidRPr="00EA7AC3">
        <w:rPr>
          <w:b/>
          <w:szCs w:val="22"/>
          <w:u w:val="single"/>
        </w:rPr>
        <w:t xml:space="preserve"> Monitoring Requirements</w:t>
      </w:r>
    </w:p>
    <w:p w14:paraId="616BE21B" w14:textId="18319024" w:rsidR="00810961" w:rsidRPr="00EA7AC3" w:rsidRDefault="00810961" w:rsidP="00810961">
      <w:pPr>
        <w:pStyle w:val="ListParagraph"/>
        <w:numPr>
          <w:ilvl w:val="0"/>
          <w:numId w:val="22"/>
        </w:numPr>
        <w:ind w:left="360"/>
        <w:contextualSpacing w:val="0"/>
        <w:rPr>
          <w:szCs w:val="22"/>
        </w:rPr>
      </w:pPr>
      <w:r w:rsidRPr="00810961">
        <w:rPr>
          <w:szCs w:val="22"/>
          <w:u w:val="single"/>
        </w:rPr>
        <w:t>CEM Systems</w:t>
      </w:r>
      <w:r w:rsidRPr="00810961">
        <w:rPr>
          <w:szCs w:val="22"/>
        </w:rPr>
        <w:t xml:space="preserve">.  </w:t>
      </w:r>
      <w:bookmarkStart w:id="207" w:name="CEM"/>
      <w:bookmarkEnd w:id="207"/>
      <w:r w:rsidRPr="00810961">
        <w:rPr>
          <w:szCs w:val="22"/>
        </w:rPr>
        <w:t xml:space="preserve">The permittee shall calibrate, maintain, and operate CEMS to measure and record the emissions of CO </w:t>
      </w:r>
      <w:r w:rsidR="00E10B6E" w:rsidRPr="00EA7AC3">
        <w:t>(if the option to use a CO CEMS is chosen)</w:t>
      </w:r>
      <w:r w:rsidR="00E10B6E" w:rsidRPr="00EA7AC3">
        <w:rPr>
          <w:szCs w:val="22"/>
        </w:rPr>
        <w:t xml:space="preserve"> </w:t>
      </w:r>
      <w:r w:rsidRPr="00EA7AC3">
        <w:rPr>
          <w:szCs w:val="22"/>
        </w:rPr>
        <w:t>and NO</w:t>
      </w:r>
      <w:r w:rsidRPr="00EA7AC3">
        <w:rPr>
          <w:szCs w:val="22"/>
          <w:vertAlign w:val="subscript"/>
        </w:rPr>
        <w:t>X</w:t>
      </w:r>
      <w:r w:rsidRPr="00EA7AC3">
        <w:rPr>
          <w:szCs w:val="22"/>
        </w:rPr>
        <w:t xml:space="preserve"> from the combined cycle gas turbine in a manner sufficient to demonstrate continuous compliance with the CEMS emission standards of this section.  Each monitoring system shall be installed, calibrated, and properly functioning prior to the initial performance tests.  Within one working day of discovering emissions in excess of a CO or NO</w:t>
      </w:r>
      <w:r w:rsidRPr="00EA7AC3">
        <w:rPr>
          <w:szCs w:val="22"/>
          <w:vertAlign w:val="subscript"/>
        </w:rPr>
        <w:t>X</w:t>
      </w:r>
      <w:r w:rsidRPr="00EA7AC3">
        <w:rPr>
          <w:szCs w:val="22"/>
        </w:rPr>
        <w:t xml:space="preserve"> standard (and subject to the specified averaging period), the permittee shall notify the Compliance Authority.</w:t>
      </w:r>
    </w:p>
    <w:p w14:paraId="02CE0712" w14:textId="15A26EC3" w:rsidR="00810961" w:rsidRPr="00EA7AC3" w:rsidRDefault="00E10B6E" w:rsidP="00810961">
      <w:pPr>
        <w:widowControl w:val="0"/>
        <w:numPr>
          <w:ilvl w:val="0"/>
          <w:numId w:val="103"/>
        </w:numPr>
        <w:ind w:left="720" w:hanging="360"/>
        <w:rPr>
          <w:szCs w:val="22"/>
        </w:rPr>
      </w:pPr>
      <w:r w:rsidRPr="00EA7AC3">
        <w:rPr>
          <w:i/>
        </w:rPr>
        <w:t>Optional CO Monitors.</w:t>
      </w:r>
      <w:r w:rsidRPr="00EA7AC3">
        <w:t xml:space="preserve">  If the option to use a CO CEMS is chosen, the CO monitor shall be certified pursuant to 40 CFR 60, Appendix B, Performance Specification 4 or 4A.  Quality assurance procedures shall conform to the requirements of 40 CFR 60, Appendix F, and the Data Assessment Report of Section 7 shall be made each calendar quarter, and reported semiannually to the Compliance Authority.  The RATA tests required for the CO monitor shall be performed using EPA Method 10 in Appendix A of 40 CFR 60 and shall be based on a continuous sampling train.  The CO monitor span values shall be set appropriately considering the allowable methods of operation and corresponding emission standards.</w:t>
      </w:r>
    </w:p>
    <w:p w14:paraId="34F1E82D" w14:textId="4903D6F1" w:rsidR="00810961" w:rsidRPr="00810961" w:rsidRDefault="00810961" w:rsidP="00810961">
      <w:pPr>
        <w:widowControl w:val="0"/>
        <w:numPr>
          <w:ilvl w:val="0"/>
          <w:numId w:val="103"/>
        </w:numPr>
        <w:ind w:left="720" w:hanging="360"/>
        <w:rPr>
          <w:szCs w:val="22"/>
        </w:rPr>
      </w:pPr>
      <w:r w:rsidRPr="00810961">
        <w:rPr>
          <w:i/>
          <w:szCs w:val="22"/>
        </w:rPr>
        <w:t>NO</w:t>
      </w:r>
      <w:r w:rsidRPr="00810961">
        <w:rPr>
          <w:i/>
          <w:szCs w:val="22"/>
          <w:vertAlign w:val="subscript"/>
        </w:rPr>
        <w:t>X</w:t>
      </w:r>
      <w:r w:rsidRPr="00810961">
        <w:rPr>
          <w:i/>
          <w:szCs w:val="22"/>
        </w:rPr>
        <w:t xml:space="preserve"> Monitors</w:t>
      </w:r>
      <w:r w:rsidRPr="00810961">
        <w:rPr>
          <w:szCs w:val="22"/>
        </w:rPr>
        <w:t xml:space="preserve">.  </w:t>
      </w:r>
      <w:r w:rsidR="00E10B6E" w:rsidRPr="004F5EE3">
        <w:rPr>
          <w:szCs w:val="22"/>
        </w:rPr>
        <w:t xml:space="preserve">Each NOx monitor shall be certified, operated, and maintained in accordance with the requirements of 40 CFR 75.  </w:t>
      </w:r>
      <w:r w:rsidR="00E10B6E" w:rsidRPr="00EA7AC3">
        <w:rPr>
          <w:szCs w:val="22"/>
        </w:rPr>
        <w:t>Recordkeeping</w:t>
      </w:r>
      <w:r w:rsidR="00E10B6E">
        <w:rPr>
          <w:szCs w:val="22"/>
        </w:rPr>
        <w:t xml:space="preserve"> </w:t>
      </w:r>
      <w:r w:rsidR="00E10B6E" w:rsidRPr="004F5EE3">
        <w:rPr>
          <w:szCs w:val="22"/>
        </w:rPr>
        <w:t>and reporting shall be conducted pursuant to Subparts F and G in 40 CFR 75.  The RATA tests required for the NO</w:t>
      </w:r>
      <w:r w:rsidR="00E10B6E" w:rsidRPr="004F5EE3">
        <w:rPr>
          <w:szCs w:val="22"/>
          <w:vertAlign w:val="subscript"/>
        </w:rPr>
        <w:t>X</w:t>
      </w:r>
      <w:r w:rsidR="00E10B6E" w:rsidRPr="004F5EE3">
        <w:rPr>
          <w:szCs w:val="22"/>
        </w:rPr>
        <w:t xml:space="preserve"> monitor shall be performed using EPA Method 20 or 7E in Appendix A of 40 CFR 60.  In addition to the requirements of Appendix A of 40 CFR 75, the NOx monitor span values shall be set appropriately considering the allowable methods of operation and corresponding emission standards.</w:t>
      </w:r>
    </w:p>
    <w:p w14:paraId="3F64C763" w14:textId="77777777" w:rsidR="00810961" w:rsidRPr="00810961" w:rsidRDefault="00810961" w:rsidP="00810961">
      <w:pPr>
        <w:widowControl w:val="0"/>
        <w:numPr>
          <w:ilvl w:val="0"/>
          <w:numId w:val="103"/>
        </w:numPr>
        <w:ind w:left="720" w:hanging="360"/>
        <w:rPr>
          <w:szCs w:val="22"/>
        </w:rPr>
      </w:pPr>
      <w:r w:rsidRPr="00810961">
        <w:rPr>
          <w:i/>
          <w:szCs w:val="22"/>
        </w:rPr>
        <w:t>Diluent Monitors.</w:t>
      </w:r>
      <w:r w:rsidRPr="00810961">
        <w:rPr>
          <w:szCs w:val="22"/>
        </w:rPr>
        <w:t xml:space="preserve">  The oxygen (O</w:t>
      </w:r>
      <w:r w:rsidRPr="00810961">
        <w:rPr>
          <w:szCs w:val="22"/>
          <w:vertAlign w:val="subscript"/>
        </w:rPr>
        <w:t>2</w:t>
      </w:r>
      <w:r w:rsidRPr="00810961">
        <w:rPr>
          <w:szCs w:val="22"/>
        </w:rPr>
        <w:t>) or carbon dioxide (CO</w:t>
      </w:r>
      <w:r w:rsidRPr="00810961">
        <w:rPr>
          <w:szCs w:val="22"/>
          <w:vertAlign w:val="subscript"/>
        </w:rPr>
        <w:t>2</w:t>
      </w:r>
      <w:r w:rsidRPr="00810961">
        <w:rPr>
          <w:szCs w:val="22"/>
        </w:rPr>
        <w:t>) content of the flue gas shall be monitored at the location where CO and NO</w:t>
      </w:r>
      <w:r w:rsidRPr="00810961">
        <w:rPr>
          <w:szCs w:val="22"/>
          <w:vertAlign w:val="subscript"/>
        </w:rPr>
        <w:t>X</w:t>
      </w:r>
      <w:r w:rsidRPr="00810961">
        <w:rPr>
          <w:szCs w:val="22"/>
        </w:rPr>
        <w:t xml:space="preserve"> are monitored to correct the measured emissions rates to 15% oxygen.  If a CO</w:t>
      </w:r>
      <w:r w:rsidRPr="00810961">
        <w:rPr>
          <w:szCs w:val="22"/>
          <w:vertAlign w:val="subscript"/>
        </w:rPr>
        <w:t>2</w:t>
      </w:r>
      <w:r w:rsidRPr="00810961">
        <w:rPr>
          <w:szCs w:val="22"/>
        </w:rPr>
        <w:t xml:space="preserve"> monitor is installed, the oxygen content of the flue gas shall be calculated using F-factors that are appropriate for the fuel fired.  Each monitor shall comply with the performance and quality assurance requirements of 40 CFR 75.</w:t>
      </w:r>
    </w:p>
    <w:p w14:paraId="184204EC" w14:textId="3359AA14" w:rsidR="00810961" w:rsidRPr="00810961" w:rsidRDefault="00E10B6E" w:rsidP="00810961">
      <w:pPr>
        <w:widowControl w:val="0"/>
        <w:numPr>
          <w:ilvl w:val="0"/>
          <w:numId w:val="103"/>
        </w:numPr>
        <w:ind w:left="720" w:hanging="360"/>
        <w:rPr>
          <w:strike/>
          <w:szCs w:val="22"/>
        </w:rPr>
      </w:pPr>
      <w:bookmarkStart w:id="208" w:name="_Hlk504137524"/>
      <w:r>
        <w:rPr>
          <w:i/>
        </w:rPr>
        <w:t>1-Hour Block Averages.</w:t>
      </w:r>
      <w:r>
        <w:t xml:space="preserve">  Hourly average values shall begin at the top of each hour.  Each hourly average value shall be computed using at least one data point in each fifteen-minute quadrant of an hour, where the unit combusted fuel during that quadrant of an hour.  Notwithstanding this requirement, an hourly value shall be computed from at least two data points separated by a minimum of 15 minutes (where the unit operates for more than one quadrant of an hour).  If less than two such data points are available, the hourly average value is not valid.  An hour in which any oil is fired is attributed towards compliance with the permit standards for oil firing.  The permittee shall use all valid measurements or data points collected during an hour to calculate the hourly average values.  The CEMS shall be designed and operated to sample, analyze, and record data evenly spaced over an hour.  If the CEMS measures concentration on a wet basis, the CEM system shall include provisions to determine the moisture content of the exhaust gas and an algorithm to enable correction of the monitoring results to a dry basis (0% moisture).  Alternatively, the owner or operator may develop through manual stack test measurements a curve of moisture contents in the exhaust gas versus load for each allowable fuel, and use these typical values in an algorithm to enable correction of the monitoring results to a dry basis (0% moisture).  Final results of the CEMS shall be expressed as ppmvd corrected to 15% oxygen.  The CEMS shall be used to demonstrate compliance with the CEMS emission standards for CO </w:t>
      </w:r>
      <w:r w:rsidRPr="00EA7AC3">
        <w:t>(if the option to use a CO CEMS is chosen) an</w:t>
      </w:r>
      <w:r>
        <w:t xml:space="preserve">d NOx as specified in this permit.  For purposes of determining compliance with the CEMS emissions standards of this permit, missing (or excluded) data shall not be substituted.  </w:t>
      </w:r>
      <w:bookmarkStart w:id="209" w:name="_Hlk508877204"/>
      <w:bookmarkEnd w:id="208"/>
    </w:p>
    <w:bookmarkEnd w:id="209"/>
    <w:p w14:paraId="37C3910D" w14:textId="77777777" w:rsidR="00810961" w:rsidRPr="00810961" w:rsidRDefault="00810961" w:rsidP="00810961">
      <w:pPr>
        <w:widowControl w:val="0"/>
        <w:numPr>
          <w:ilvl w:val="0"/>
          <w:numId w:val="103"/>
        </w:numPr>
        <w:ind w:left="720" w:hanging="360"/>
        <w:rPr>
          <w:szCs w:val="22"/>
        </w:rPr>
      </w:pPr>
      <w:r w:rsidRPr="00810961">
        <w:rPr>
          <w:i/>
          <w:szCs w:val="22"/>
        </w:rPr>
        <w:t>24-hour Block Averages</w:t>
      </w:r>
      <w:r w:rsidRPr="00810961">
        <w:rPr>
          <w:szCs w:val="22"/>
        </w:rPr>
        <w:t xml:space="preserve">.  A 24-hour block shall begin at midnight of each operating day and shall be calculated from 24 consecutive hourly average emission rate values.  If a unit operates less than 24 hours during the block, the 24-hour block average shall be the average of available valid hourly average emission rate values for the 24-hour block.  For purposes of determining compliance with the 24-hour CEMS standards, missing (or excluded) data shall not be substituted.  Instead, the 24-hour block average shall be determined using the remaining hourly data in the 24-hour block.  </w:t>
      </w:r>
      <w:r w:rsidRPr="00E10B6E">
        <w:rPr>
          <w:i/>
          <w:szCs w:val="22"/>
        </w:rPr>
        <w:t>{Permitting Note:  There may be more than one 24-hour compliance demonstration required for CO and NO</w:t>
      </w:r>
      <w:r w:rsidRPr="00E10B6E">
        <w:rPr>
          <w:i/>
          <w:szCs w:val="22"/>
          <w:vertAlign w:val="subscript"/>
        </w:rPr>
        <w:t>X</w:t>
      </w:r>
      <w:r w:rsidRPr="00E10B6E">
        <w:rPr>
          <w:i/>
          <w:szCs w:val="22"/>
        </w:rPr>
        <w:t xml:space="preserve"> emissions depending on the use of alternate methods of operation}</w:t>
      </w:r>
      <w:r w:rsidRPr="00810961">
        <w:rPr>
          <w:szCs w:val="22"/>
        </w:rPr>
        <w:t>.  [Rule 62-212.400(BACT), F.A.C.]</w:t>
      </w:r>
    </w:p>
    <w:p w14:paraId="64A065DB" w14:textId="6D6F77C0" w:rsidR="00810961" w:rsidRPr="00810961" w:rsidRDefault="00810961" w:rsidP="00810961">
      <w:pPr>
        <w:widowControl w:val="0"/>
        <w:numPr>
          <w:ilvl w:val="0"/>
          <w:numId w:val="103"/>
        </w:numPr>
        <w:ind w:left="720" w:hanging="360"/>
        <w:rPr>
          <w:szCs w:val="22"/>
        </w:rPr>
      </w:pPr>
      <w:r w:rsidRPr="00810961">
        <w:rPr>
          <w:i/>
          <w:szCs w:val="22"/>
        </w:rPr>
        <w:t>Data Exclusion</w:t>
      </w:r>
      <w:r w:rsidRPr="00810961">
        <w:rPr>
          <w:szCs w:val="22"/>
        </w:rPr>
        <w:t xml:space="preserve">.  Each CEMS shall monitor and record emissions during all operations including episodes of startup, shutdown, malfunction, fuel switches, and DLN tuning.  CEMS emissions data recorded during some of these episodes may be excluded from the corresponding CEMS compliance demonstration subject to the provisions of Specific </w:t>
      </w:r>
      <w:r w:rsidRPr="008C2AD5">
        <w:rPr>
          <w:szCs w:val="22"/>
        </w:rPr>
        <w:t xml:space="preserve">Conditions </w:t>
      </w:r>
      <w:r w:rsidR="005538FF" w:rsidRPr="008C2AD5">
        <w:rPr>
          <w:b/>
          <w:szCs w:val="22"/>
        </w:rPr>
        <w:fldChar w:fldCharType="begin"/>
      </w:r>
      <w:r w:rsidR="005538FF" w:rsidRPr="008C2AD5">
        <w:rPr>
          <w:b/>
          <w:szCs w:val="22"/>
        </w:rPr>
        <w:instrText xml:space="preserve"> REF _Ref503945502 \r \h  \* MERGEFORMAT </w:instrText>
      </w:r>
      <w:r w:rsidR="005538FF" w:rsidRPr="008C2AD5">
        <w:rPr>
          <w:b/>
          <w:szCs w:val="22"/>
        </w:rPr>
      </w:r>
      <w:r w:rsidR="005538FF" w:rsidRPr="008C2AD5">
        <w:rPr>
          <w:b/>
          <w:szCs w:val="22"/>
        </w:rPr>
        <w:fldChar w:fldCharType="separate"/>
      </w:r>
      <w:r w:rsidR="00D31800">
        <w:rPr>
          <w:b/>
          <w:szCs w:val="22"/>
        </w:rPr>
        <w:t>D.15</w:t>
      </w:r>
      <w:r w:rsidR="005538FF" w:rsidRPr="008C2AD5">
        <w:rPr>
          <w:b/>
          <w:szCs w:val="22"/>
        </w:rPr>
        <w:fldChar w:fldCharType="end"/>
      </w:r>
      <w:r w:rsidR="005538FF" w:rsidRPr="008C2AD5">
        <w:rPr>
          <w:szCs w:val="22"/>
        </w:rPr>
        <w:t xml:space="preserve"> </w:t>
      </w:r>
      <w:r w:rsidRPr="008C2AD5">
        <w:rPr>
          <w:szCs w:val="22"/>
        </w:rPr>
        <w:t xml:space="preserve">and </w:t>
      </w:r>
      <w:r w:rsidR="005538FF" w:rsidRPr="008C2AD5">
        <w:rPr>
          <w:b/>
          <w:szCs w:val="22"/>
        </w:rPr>
        <w:fldChar w:fldCharType="begin"/>
      </w:r>
      <w:r w:rsidR="005538FF" w:rsidRPr="008C2AD5">
        <w:rPr>
          <w:b/>
          <w:szCs w:val="22"/>
        </w:rPr>
        <w:instrText xml:space="preserve"> REF _Ref503945513 \r \h  \* MERGEFORMAT </w:instrText>
      </w:r>
      <w:r w:rsidR="005538FF" w:rsidRPr="008C2AD5">
        <w:rPr>
          <w:b/>
          <w:szCs w:val="22"/>
        </w:rPr>
      </w:r>
      <w:r w:rsidR="005538FF" w:rsidRPr="008C2AD5">
        <w:rPr>
          <w:b/>
          <w:szCs w:val="22"/>
        </w:rPr>
        <w:fldChar w:fldCharType="separate"/>
      </w:r>
      <w:r w:rsidR="00D31800">
        <w:rPr>
          <w:b/>
          <w:szCs w:val="22"/>
        </w:rPr>
        <w:t>D.16</w:t>
      </w:r>
      <w:r w:rsidR="005538FF" w:rsidRPr="008C2AD5">
        <w:rPr>
          <w:b/>
          <w:szCs w:val="22"/>
        </w:rPr>
        <w:fldChar w:fldCharType="end"/>
      </w:r>
      <w:r w:rsidRPr="008C2AD5">
        <w:rPr>
          <w:szCs w:val="22"/>
        </w:rPr>
        <w:t>.</w:t>
      </w:r>
      <w:r w:rsidRPr="00810961">
        <w:rPr>
          <w:szCs w:val="22"/>
        </w:rPr>
        <w:t xml:space="preserve">  All periods of data excluded shall be consecutive for each such episode.  The permittee shall minimize the duration of data excluded for such episodes to the extent practicable.  Data recorded during such episodes shall not be excluded if the episode was caused entirely or in part by poor maintenance, poor operation, or any other equipment or process failure, which may reasonably be prevented.  Best operational practices shall be used to minimize hourly emissions that occur during such episodes.  Emissions of any quantity or duration that occur entirely or in part from poor maintenance, poor operation, or any other equipment or process failure, which may reasonably be prevented, shall be prohibited.</w:t>
      </w:r>
    </w:p>
    <w:p w14:paraId="78705CFE" w14:textId="77777777" w:rsidR="00810961" w:rsidRPr="00810961" w:rsidRDefault="00810961" w:rsidP="00810961">
      <w:pPr>
        <w:widowControl w:val="0"/>
        <w:numPr>
          <w:ilvl w:val="0"/>
          <w:numId w:val="103"/>
        </w:numPr>
        <w:ind w:left="720" w:hanging="360"/>
        <w:rPr>
          <w:szCs w:val="22"/>
        </w:rPr>
      </w:pPr>
      <w:r w:rsidRPr="00810961">
        <w:rPr>
          <w:i/>
          <w:szCs w:val="22"/>
        </w:rPr>
        <w:t>Availability</w:t>
      </w:r>
      <w:r w:rsidRPr="00810961">
        <w:rPr>
          <w:szCs w:val="22"/>
        </w:rPr>
        <w:t xml:space="preserve">.  Monitor availability for the CEMS shall be 95% or greater in any calendar quarter.  The quarterly permit excess emissions report shall be used to demonstrate monitor availability.  In the event 95% availability is not achieved, the permittee shall provide the Department with a report identifying the problems in achieving 95% availability and a plan of corrective actions that will be taken to achieve 95% availability.  The permittee shall implement the reported corrective actions within the next calendar quarter.  Failure to take corrective actions or continued failure to achieve the minimum monitor availability shall be violations of this permit, except as otherwise authorized by the Department’s Compliance Authority. </w:t>
      </w:r>
    </w:p>
    <w:p w14:paraId="09AC85B2" w14:textId="5237B806" w:rsidR="00810961" w:rsidRPr="00C20EEA" w:rsidRDefault="00810961" w:rsidP="00810961">
      <w:pPr>
        <w:widowControl w:val="0"/>
        <w:spacing w:after="120"/>
        <w:ind w:left="360"/>
        <w:rPr>
          <w:szCs w:val="22"/>
        </w:rPr>
      </w:pPr>
      <w:r w:rsidRPr="00C20EEA">
        <w:rPr>
          <w:szCs w:val="22"/>
        </w:rPr>
        <w:t>[Rule 62-212.400(BACT), F.A.C.; and, Permit Nos. 0850001-010-AC (PSD-FL-327)</w:t>
      </w:r>
      <w:r w:rsidR="00E10B6E" w:rsidRPr="00C20EEA">
        <w:rPr>
          <w:szCs w:val="22"/>
        </w:rPr>
        <w:t>,</w:t>
      </w:r>
      <w:r w:rsidRPr="00C20EEA">
        <w:rPr>
          <w:szCs w:val="22"/>
        </w:rPr>
        <w:t xml:space="preserve"> 0850001</w:t>
      </w:r>
      <w:r w:rsidRPr="00C20EEA">
        <w:rPr>
          <w:bCs/>
          <w:szCs w:val="22"/>
        </w:rPr>
        <w:t>-032</w:t>
      </w:r>
      <w:r w:rsidRPr="00C20EEA">
        <w:rPr>
          <w:szCs w:val="22"/>
        </w:rPr>
        <w:t>-AC PSD-FL-146H</w:t>
      </w:r>
      <w:r w:rsidR="00E10B6E" w:rsidRPr="00C20EEA">
        <w:rPr>
          <w:szCs w:val="22"/>
        </w:rPr>
        <w:t xml:space="preserve"> &amp; </w:t>
      </w:r>
      <w:r w:rsidRPr="00C20EEA">
        <w:rPr>
          <w:szCs w:val="22"/>
        </w:rPr>
        <w:t>327F</w:t>
      </w:r>
      <w:r w:rsidR="00E10B6E" w:rsidRPr="00C20EEA">
        <w:rPr>
          <w:szCs w:val="22"/>
        </w:rPr>
        <w:t xml:space="preserve"> &amp; 0850001-041-AC/PSD-FL-146J &amp; 327G]</w:t>
      </w:r>
    </w:p>
    <w:p w14:paraId="77B7797E" w14:textId="1ADCB3FA" w:rsidR="002A325F" w:rsidRDefault="00810961" w:rsidP="00810961">
      <w:pPr>
        <w:pStyle w:val="ListParagraph"/>
        <w:spacing w:after="120"/>
        <w:ind w:left="360"/>
        <w:contextualSpacing w:val="0"/>
        <w:rPr>
          <w:szCs w:val="22"/>
        </w:rPr>
      </w:pPr>
      <w:r w:rsidRPr="00810961">
        <w:rPr>
          <w:i/>
          <w:iCs/>
          <w:szCs w:val="22"/>
        </w:rPr>
        <w:t>{Permitting Note:  Compliance with these requirements ensure compliance with the other applicable CEM system requirements such as:  40 CFR 60.7(a)(5) and 40 CFR 60.13; 40 CFR Part 51, Appendix P; 40 CFR 60, Appendix B - Performance Specifications; and 40 CFR 60, Appendix F - Quality Assurance Procedures.}</w:t>
      </w:r>
      <w:r w:rsidRPr="00810961">
        <w:rPr>
          <w:szCs w:val="22"/>
        </w:rPr>
        <w:t xml:space="preserve">  </w:t>
      </w:r>
    </w:p>
    <w:p w14:paraId="494E469F" w14:textId="372F9318" w:rsidR="005538FF" w:rsidRPr="005538FF" w:rsidRDefault="005538FF" w:rsidP="005538FF">
      <w:pPr>
        <w:pStyle w:val="ListParagraph"/>
        <w:numPr>
          <w:ilvl w:val="0"/>
          <w:numId w:val="22"/>
        </w:numPr>
        <w:ind w:left="360"/>
        <w:contextualSpacing w:val="0"/>
        <w:rPr>
          <w:szCs w:val="22"/>
        </w:rPr>
      </w:pPr>
      <w:bookmarkStart w:id="210" w:name="_Ref503867942"/>
      <w:bookmarkStart w:id="211" w:name="_Hlk504138003"/>
      <w:bookmarkEnd w:id="172"/>
      <w:r w:rsidRPr="005538FF">
        <w:rPr>
          <w:szCs w:val="22"/>
          <w:u w:val="single"/>
        </w:rPr>
        <w:t>NSPS Subpart KKKK CEMS Requirements</w:t>
      </w:r>
      <w:r w:rsidRPr="005538FF">
        <w:rPr>
          <w:szCs w:val="22"/>
        </w:rPr>
        <w:t>.  A NO</w:t>
      </w:r>
      <w:r w:rsidRPr="005538FF">
        <w:rPr>
          <w:szCs w:val="22"/>
          <w:vertAlign w:val="subscript"/>
        </w:rPr>
        <w:t>X</w:t>
      </w:r>
      <w:r w:rsidRPr="005538FF">
        <w:rPr>
          <w:szCs w:val="22"/>
        </w:rPr>
        <w:t xml:space="preserve"> diluent CEMS that is installed and certified according to appendix A of 40 CFR 75 is acceptable for use under 40 CFR 60, Subpart KKKK </w:t>
      </w:r>
      <w:proofErr w:type="gramStart"/>
      <w:r w:rsidRPr="005538FF">
        <w:rPr>
          <w:szCs w:val="22"/>
        </w:rPr>
        <w:t>for the purpose of</w:t>
      </w:r>
      <w:proofErr w:type="gramEnd"/>
      <w:r w:rsidRPr="005538FF">
        <w:rPr>
          <w:szCs w:val="22"/>
        </w:rPr>
        <w:t xml:space="preserve"> demonstrating compliance with NO</w:t>
      </w:r>
      <w:r w:rsidRPr="005538FF">
        <w:rPr>
          <w:szCs w:val="22"/>
          <w:vertAlign w:val="subscript"/>
        </w:rPr>
        <w:t>X</w:t>
      </w:r>
      <w:r w:rsidRPr="005538FF">
        <w:rPr>
          <w:szCs w:val="22"/>
        </w:rPr>
        <w:t xml:space="preserve"> emissions limits of this subpart (see Specific Condition </w:t>
      </w:r>
      <w:r w:rsidRPr="005538FF">
        <w:rPr>
          <w:b/>
          <w:szCs w:val="22"/>
        </w:rPr>
        <w:fldChar w:fldCharType="begin"/>
      </w:r>
      <w:r w:rsidRPr="005538FF">
        <w:rPr>
          <w:b/>
          <w:szCs w:val="22"/>
        </w:rPr>
        <w:instrText xml:space="preserve"> REF _Ref503860575 \r \h  \* MERGEFORMAT </w:instrText>
      </w:r>
      <w:r w:rsidRPr="005538FF">
        <w:rPr>
          <w:b/>
          <w:szCs w:val="22"/>
        </w:rPr>
      </w:r>
      <w:r w:rsidRPr="005538FF">
        <w:rPr>
          <w:b/>
          <w:szCs w:val="22"/>
        </w:rPr>
        <w:fldChar w:fldCharType="separate"/>
      </w:r>
      <w:r w:rsidR="00D31800">
        <w:rPr>
          <w:b/>
          <w:szCs w:val="22"/>
        </w:rPr>
        <w:t>D.7</w:t>
      </w:r>
      <w:r w:rsidRPr="005538FF">
        <w:rPr>
          <w:b/>
          <w:szCs w:val="22"/>
        </w:rPr>
        <w:fldChar w:fldCharType="end"/>
      </w:r>
      <w:r w:rsidRPr="005538FF">
        <w:rPr>
          <w:szCs w:val="22"/>
        </w:rPr>
        <w:t>).  The relative accuracy test audit (RATA) of the CEMS shall be performed on a lb/MMBtu basis.  If a NO</w:t>
      </w:r>
      <w:r w:rsidRPr="005538FF">
        <w:rPr>
          <w:szCs w:val="22"/>
          <w:vertAlign w:val="subscript"/>
        </w:rPr>
        <w:t>X</w:t>
      </w:r>
      <w:r w:rsidRPr="005538FF">
        <w:rPr>
          <w:szCs w:val="22"/>
        </w:rPr>
        <w:t xml:space="preserve"> diluent CEMS is to be used for NSPS Subpart KKKK compliance, the permittee shall comply with the following operating and work practice standards:</w:t>
      </w:r>
      <w:bookmarkEnd w:id="210"/>
    </w:p>
    <w:p w14:paraId="5AF80DBD" w14:textId="77777777" w:rsidR="005538FF" w:rsidRPr="005538FF" w:rsidRDefault="005538FF" w:rsidP="00114020">
      <w:pPr>
        <w:numPr>
          <w:ilvl w:val="0"/>
          <w:numId w:val="104"/>
        </w:numPr>
        <w:spacing w:after="120" w:line="276" w:lineRule="auto"/>
        <w:contextualSpacing/>
        <w:rPr>
          <w:rFonts w:eastAsia="Calibri"/>
          <w:szCs w:val="22"/>
        </w:rPr>
      </w:pPr>
      <w:bookmarkStart w:id="212" w:name="_Ref503867946"/>
      <w:r w:rsidRPr="005538FF">
        <w:rPr>
          <w:rFonts w:eastAsia="Calibri"/>
          <w:szCs w:val="22"/>
        </w:rPr>
        <w:t>As specified in 40 CFR 60.13(e)(2), during each full unit operating hour, both the NO</w:t>
      </w:r>
      <w:r w:rsidRPr="005538FF">
        <w:rPr>
          <w:rFonts w:eastAsia="Calibri"/>
          <w:szCs w:val="22"/>
          <w:vertAlign w:val="subscript"/>
        </w:rPr>
        <w:t>X</w:t>
      </w:r>
      <w:r w:rsidRPr="005538FF">
        <w:rPr>
          <w:rFonts w:eastAsia="Calibri"/>
          <w:szCs w:val="22"/>
        </w:rPr>
        <w:t xml:space="preserve"> monitor and the diluent monitor must complete a minimum of one cycle of operation (sampling, analyzing, and data recording) for each 15-minute quadrant of the hour, to validate the hour.  For partial unit operating hours, at least one valid data point must be obtained with each monitor for each quadrant of the hour in which the unit operates.  For unit operating hours in which required quality assurance and maintenance activities are performed on the CEMS, a minimum of two valid data points (one in each of two quadrants) are required for each monitor to validate the NO</w:t>
      </w:r>
      <w:r w:rsidRPr="005538FF">
        <w:rPr>
          <w:rFonts w:eastAsia="Calibri"/>
          <w:szCs w:val="22"/>
          <w:vertAlign w:val="subscript"/>
        </w:rPr>
        <w:t>X</w:t>
      </w:r>
      <w:r w:rsidRPr="005538FF">
        <w:rPr>
          <w:rFonts w:eastAsia="Calibri"/>
          <w:szCs w:val="22"/>
        </w:rPr>
        <w:t xml:space="preserve"> emission rate for the hour.</w:t>
      </w:r>
      <w:bookmarkEnd w:id="212"/>
      <w:r w:rsidRPr="005538FF">
        <w:rPr>
          <w:rFonts w:eastAsia="Calibri"/>
          <w:szCs w:val="22"/>
        </w:rPr>
        <w:t xml:space="preserve">  </w:t>
      </w:r>
    </w:p>
    <w:p w14:paraId="7933EC8A" w14:textId="77777777" w:rsidR="005538FF" w:rsidRPr="005538FF" w:rsidRDefault="005538FF" w:rsidP="00114020">
      <w:pPr>
        <w:numPr>
          <w:ilvl w:val="0"/>
          <w:numId w:val="104"/>
        </w:numPr>
        <w:spacing w:after="120" w:line="276" w:lineRule="auto"/>
        <w:contextualSpacing/>
        <w:rPr>
          <w:rFonts w:eastAsia="Calibri"/>
          <w:szCs w:val="22"/>
        </w:rPr>
      </w:pPr>
      <w:r w:rsidRPr="005538FF">
        <w:rPr>
          <w:rFonts w:eastAsia="Calibri"/>
          <w:szCs w:val="22"/>
        </w:rPr>
        <w:t>Each fuel flow meter shall be installed, calibrated, maintained, and operated according to the manufacturer’s instructions.  Alternatively, with state approval, fuel flowmeters that meet the installation, certification, and quality assurance requirements of appendix D to part 75 of this chapter are acceptable for use under 40 CFR 60, Subpart KKKK</w:t>
      </w:r>
    </w:p>
    <w:p w14:paraId="58066504" w14:textId="77777777" w:rsidR="005538FF" w:rsidRPr="005538FF" w:rsidRDefault="005538FF" w:rsidP="00114020">
      <w:pPr>
        <w:numPr>
          <w:ilvl w:val="0"/>
          <w:numId w:val="104"/>
        </w:numPr>
        <w:spacing w:after="120" w:line="276" w:lineRule="auto"/>
        <w:contextualSpacing/>
        <w:rPr>
          <w:rFonts w:eastAsia="Calibri"/>
          <w:szCs w:val="22"/>
        </w:rPr>
      </w:pPr>
      <w:r w:rsidRPr="005538FF">
        <w:rPr>
          <w:rFonts w:eastAsia="Calibri"/>
          <w:szCs w:val="22"/>
        </w:rPr>
        <w:t>Each watt meter, steam flow meter, and each pressure or temperature measurement device shall be installed, calibrated, maintained, and operated according to the manufacturer’s instructions.</w:t>
      </w:r>
    </w:p>
    <w:p w14:paraId="085E201A" w14:textId="77777777" w:rsidR="005538FF" w:rsidRPr="005538FF" w:rsidRDefault="005538FF" w:rsidP="00114020">
      <w:pPr>
        <w:numPr>
          <w:ilvl w:val="0"/>
          <w:numId w:val="104"/>
        </w:numPr>
        <w:spacing w:after="120" w:line="276" w:lineRule="auto"/>
        <w:contextualSpacing/>
        <w:rPr>
          <w:rFonts w:eastAsia="Calibri"/>
          <w:szCs w:val="22"/>
        </w:rPr>
      </w:pPr>
      <w:r w:rsidRPr="005538FF">
        <w:rPr>
          <w:rFonts w:eastAsia="Calibri"/>
          <w:szCs w:val="22"/>
        </w:rPr>
        <w:t xml:space="preserve">The permittee shall develop and keep on-site a quality assurance (QA) plan for all of the continuous monitoring equipment described in this specific condition.  For the CEMS and fuel flow meters, the permittee may, with state approval, satisfy the requirements of this paragraph by implementing the QA program and plan described in section 1 of appendix B of 40 CFR 75.  </w:t>
      </w:r>
    </w:p>
    <w:p w14:paraId="1E022A2A" w14:textId="4A9BB4F6" w:rsidR="005538FF" w:rsidRDefault="005538FF" w:rsidP="005538FF">
      <w:pPr>
        <w:spacing w:after="120" w:line="276" w:lineRule="auto"/>
        <w:ind w:left="360"/>
        <w:rPr>
          <w:rFonts w:eastAsia="Calibri"/>
          <w:szCs w:val="22"/>
        </w:rPr>
      </w:pPr>
      <w:r w:rsidRPr="005538FF">
        <w:rPr>
          <w:rFonts w:eastAsia="Calibri"/>
          <w:szCs w:val="22"/>
        </w:rPr>
        <w:t>[40 CFR 60.4345]</w:t>
      </w:r>
    </w:p>
    <w:p w14:paraId="0913ED90" w14:textId="02866747" w:rsidR="005538FF" w:rsidRDefault="005538FF" w:rsidP="005538FF">
      <w:pPr>
        <w:spacing w:after="120"/>
        <w:rPr>
          <w:rFonts w:eastAsia="Calibri"/>
          <w:b/>
          <w:szCs w:val="22"/>
          <w:u w:val="single"/>
        </w:rPr>
      </w:pPr>
      <w:r w:rsidRPr="005538FF">
        <w:rPr>
          <w:rFonts w:eastAsia="Calibri"/>
          <w:b/>
          <w:szCs w:val="22"/>
          <w:u w:val="single"/>
        </w:rPr>
        <w:t>Test Methods and Procedures</w:t>
      </w:r>
    </w:p>
    <w:p w14:paraId="26F8D491" w14:textId="77777777" w:rsidR="005538FF" w:rsidRPr="00C16FF6" w:rsidRDefault="005538FF" w:rsidP="005538FF">
      <w:pPr>
        <w:numPr>
          <w:ilvl w:val="0"/>
          <w:numId w:val="22"/>
        </w:numPr>
        <w:spacing w:before="120" w:after="120"/>
        <w:ind w:left="360"/>
        <w:rPr>
          <w:szCs w:val="22"/>
        </w:rPr>
      </w:pPr>
      <w:r w:rsidRPr="00C16FF6">
        <w:rPr>
          <w:szCs w:val="22"/>
          <w:u w:val="single"/>
        </w:rPr>
        <w:t>Test Methods</w:t>
      </w:r>
      <w:r w:rsidRPr="00C16FF6">
        <w:rPr>
          <w:szCs w:val="22"/>
        </w:rPr>
        <w:t>.  Any required tests shall be performed in accordance with the following reference methods.</w:t>
      </w:r>
    </w:p>
    <w:tbl>
      <w:tblPr>
        <w:tblW w:w="9362" w:type="dxa"/>
        <w:tblInd w:w="34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992"/>
        <w:gridCol w:w="8370"/>
      </w:tblGrid>
      <w:tr w:rsidR="005538FF" w:rsidRPr="00C16FF6" w14:paraId="31A54E7C" w14:textId="77777777" w:rsidTr="005538FF">
        <w:trPr>
          <w:trHeight w:val="465"/>
        </w:trPr>
        <w:tc>
          <w:tcPr>
            <w:tcW w:w="992" w:type="dxa"/>
            <w:tcBorders>
              <w:top w:val="single" w:sz="12" w:space="0" w:color="auto"/>
              <w:bottom w:val="single" w:sz="12" w:space="0" w:color="auto"/>
              <w:right w:val="single" w:sz="12" w:space="0" w:color="auto"/>
            </w:tcBorders>
            <w:shd w:val="clear" w:color="auto" w:fill="auto"/>
            <w:vAlign w:val="center"/>
          </w:tcPr>
          <w:p w14:paraId="32FF972B" w14:textId="77777777" w:rsidR="005538FF" w:rsidRPr="00C16FF6" w:rsidRDefault="005538FF" w:rsidP="00A916D5">
            <w:pPr>
              <w:spacing w:before="20" w:after="20"/>
              <w:jc w:val="center"/>
              <w:rPr>
                <w:b/>
                <w:szCs w:val="22"/>
              </w:rPr>
            </w:pPr>
            <w:r w:rsidRPr="00C16FF6">
              <w:rPr>
                <w:szCs w:val="22"/>
              </w:rPr>
              <w:br w:type="page"/>
            </w:r>
            <w:r w:rsidRPr="00C16FF6">
              <w:rPr>
                <w:b/>
                <w:szCs w:val="22"/>
              </w:rPr>
              <w:t>Method</w:t>
            </w:r>
          </w:p>
        </w:tc>
        <w:tc>
          <w:tcPr>
            <w:tcW w:w="8370" w:type="dxa"/>
            <w:tcBorders>
              <w:top w:val="single" w:sz="12" w:space="0" w:color="auto"/>
              <w:left w:val="single" w:sz="12" w:space="0" w:color="auto"/>
              <w:bottom w:val="single" w:sz="12" w:space="0" w:color="auto"/>
            </w:tcBorders>
            <w:shd w:val="clear" w:color="auto" w:fill="auto"/>
            <w:vAlign w:val="center"/>
          </w:tcPr>
          <w:p w14:paraId="125713F5" w14:textId="77777777" w:rsidR="005538FF" w:rsidRPr="00C16FF6" w:rsidRDefault="005538FF" w:rsidP="00A916D5">
            <w:pPr>
              <w:spacing w:before="20" w:after="20"/>
              <w:jc w:val="center"/>
              <w:rPr>
                <w:b/>
                <w:szCs w:val="22"/>
              </w:rPr>
            </w:pPr>
            <w:r w:rsidRPr="00C16FF6">
              <w:rPr>
                <w:b/>
                <w:szCs w:val="22"/>
              </w:rPr>
              <w:t>Description of Method and Comments</w:t>
            </w:r>
          </w:p>
        </w:tc>
      </w:tr>
      <w:tr w:rsidR="005538FF" w:rsidRPr="00C16FF6" w14:paraId="17D2AA5C" w14:textId="77777777" w:rsidTr="005538FF">
        <w:tc>
          <w:tcPr>
            <w:tcW w:w="992" w:type="dxa"/>
            <w:tcBorders>
              <w:top w:val="single" w:sz="12" w:space="0" w:color="auto"/>
              <w:right w:val="single" w:sz="12" w:space="0" w:color="auto"/>
            </w:tcBorders>
            <w:vAlign w:val="center"/>
          </w:tcPr>
          <w:p w14:paraId="2DC0B288" w14:textId="77777777" w:rsidR="005538FF" w:rsidRPr="00642F9D" w:rsidRDefault="005538FF" w:rsidP="00A916D5">
            <w:pPr>
              <w:spacing w:before="20" w:after="20"/>
              <w:jc w:val="center"/>
              <w:rPr>
                <w:szCs w:val="22"/>
              </w:rPr>
            </w:pPr>
            <w:r w:rsidRPr="00642F9D">
              <w:rPr>
                <w:szCs w:val="22"/>
              </w:rPr>
              <w:t>CTM-027</w:t>
            </w:r>
            <w:r w:rsidRPr="00211CF0">
              <w:rPr>
                <w:szCs w:val="22"/>
                <w:vertAlign w:val="superscript"/>
              </w:rPr>
              <w:t>1</w:t>
            </w:r>
          </w:p>
        </w:tc>
        <w:tc>
          <w:tcPr>
            <w:tcW w:w="8370" w:type="dxa"/>
            <w:tcBorders>
              <w:top w:val="single" w:sz="12" w:space="0" w:color="auto"/>
              <w:left w:val="single" w:sz="12" w:space="0" w:color="auto"/>
            </w:tcBorders>
            <w:vAlign w:val="center"/>
          </w:tcPr>
          <w:p w14:paraId="548DC9D2" w14:textId="77777777" w:rsidR="005538FF" w:rsidRPr="00642F9D" w:rsidRDefault="005538FF" w:rsidP="00A916D5">
            <w:pPr>
              <w:spacing w:before="20" w:after="20"/>
              <w:ind w:left="-18"/>
              <w:rPr>
                <w:szCs w:val="22"/>
              </w:rPr>
            </w:pPr>
            <w:r w:rsidRPr="00642F9D">
              <w:rPr>
                <w:szCs w:val="22"/>
              </w:rPr>
              <w:t>Procedure for Collection and Analysis of Ammonia in Stationary Source</w:t>
            </w:r>
          </w:p>
          <w:p w14:paraId="5E8462E4" w14:textId="77777777" w:rsidR="005538FF" w:rsidRPr="00642F9D" w:rsidRDefault="005538FF" w:rsidP="00A916D5">
            <w:pPr>
              <w:spacing w:before="20" w:after="20"/>
              <w:ind w:left="-18"/>
              <w:rPr>
                <w:szCs w:val="22"/>
              </w:rPr>
            </w:pPr>
            <w:r w:rsidRPr="00642F9D">
              <w:rPr>
                <w:szCs w:val="22"/>
              </w:rPr>
              <w:t>{Notes:  This is an EPA conditional test method.  The minimum detection limit shall be 1 ppm.}</w:t>
            </w:r>
          </w:p>
        </w:tc>
      </w:tr>
      <w:tr w:rsidR="005538FF" w:rsidRPr="00C16FF6" w14:paraId="26B1CC93" w14:textId="77777777" w:rsidTr="005538FF">
        <w:tc>
          <w:tcPr>
            <w:tcW w:w="992" w:type="dxa"/>
            <w:tcBorders>
              <w:right w:val="single" w:sz="12" w:space="0" w:color="auto"/>
            </w:tcBorders>
            <w:vAlign w:val="center"/>
          </w:tcPr>
          <w:p w14:paraId="07DE439F" w14:textId="77777777" w:rsidR="005538FF" w:rsidRPr="00C16FF6" w:rsidRDefault="005538FF" w:rsidP="00A916D5">
            <w:pPr>
              <w:spacing w:before="20" w:after="20"/>
              <w:jc w:val="center"/>
              <w:rPr>
                <w:szCs w:val="22"/>
              </w:rPr>
            </w:pPr>
            <w:r w:rsidRPr="00C16FF6">
              <w:rPr>
                <w:szCs w:val="22"/>
              </w:rPr>
              <w:t>7E</w:t>
            </w:r>
          </w:p>
        </w:tc>
        <w:tc>
          <w:tcPr>
            <w:tcW w:w="8370" w:type="dxa"/>
            <w:tcBorders>
              <w:left w:val="single" w:sz="12" w:space="0" w:color="auto"/>
            </w:tcBorders>
            <w:vAlign w:val="center"/>
          </w:tcPr>
          <w:p w14:paraId="74D4E713" w14:textId="77777777" w:rsidR="005538FF" w:rsidRPr="00C16FF6" w:rsidRDefault="005538FF" w:rsidP="00A916D5">
            <w:pPr>
              <w:spacing w:before="20" w:after="20"/>
              <w:ind w:left="-18"/>
              <w:rPr>
                <w:szCs w:val="22"/>
              </w:rPr>
            </w:pPr>
            <w:r w:rsidRPr="00C16FF6">
              <w:rPr>
                <w:szCs w:val="22"/>
              </w:rPr>
              <w:t>Determination of Nitrogen Oxide Emissions from Stationary Sources</w:t>
            </w:r>
          </w:p>
        </w:tc>
      </w:tr>
      <w:tr w:rsidR="005538FF" w:rsidRPr="00C16FF6" w14:paraId="53CB8F0A" w14:textId="77777777" w:rsidTr="005538FF">
        <w:tc>
          <w:tcPr>
            <w:tcW w:w="992" w:type="dxa"/>
            <w:tcBorders>
              <w:right w:val="single" w:sz="12" w:space="0" w:color="auto"/>
            </w:tcBorders>
            <w:vAlign w:val="center"/>
          </w:tcPr>
          <w:p w14:paraId="0E01E2DF" w14:textId="77777777" w:rsidR="005538FF" w:rsidRPr="00C16FF6" w:rsidRDefault="005538FF" w:rsidP="00A916D5">
            <w:pPr>
              <w:spacing w:before="20" w:after="20"/>
              <w:jc w:val="center"/>
              <w:rPr>
                <w:szCs w:val="22"/>
              </w:rPr>
            </w:pPr>
            <w:r w:rsidRPr="00C16FF6">
              <w:rPr>
                <w:szCs w:val="22"/>
              </w:rPr>
              <w:t>9</w:t>
            </w:r>
          </w:p>
        </w:tc>
        <w:tc>
          <w:tcPr>
            <w:tcW w:w="8370" w:type="dxa"/>
            <w:tcBorders>
              <w:left w:val="single" w:sz="12" w:space="0" w:color="auto"/>
            </w:tcBorders>
            <w:vAlign w:val="center"/>
          </w:tcPr>
          <w:p w14:paraId="796932B7" w14:textId="77777777" w:rsidR="005538FF" w:rsidRPr="00C16FF6" w:rsidRDefault="005538FF" w:rsidP="00A916D5">
            <w:pPr>
              <w:spacing w:before="20" w:after="20"/>
              <w:ind w:left="-18"/>
              <w:rPr>
                <w:szCs w:val="22"/>
              </w:rPr>
            </w:pPr>
            <w:r w:rsidRPr="00C16FF6">
              <w:rPr>
                <w:szCs w:val="22"/>
              </w:rPr>
              <w:t>Visual Determination of the Opacity of Emissions from Stationary Sources</w:t>
            </w:r>
          </w:p>
        </w:tc>
      </w:tr>
      <w:tr w:rsidR="005538FF" w:rsidRPr="00C16FF6" w14:paraId="67C13D22" w14:textId="77777777" w:rsidTr="005538FF">
        <w:tc>
          <w:tcPr>
            <w:tcW w:w="992" w:type="dxa"/>
            <w:tcBorders>
              <w:right w:val="single" w:sz="12" w:space="0" w:color="auto"/>
            </w:tcBorders>
            <w:vAlign w:val="center"/>
          </w:tcPr>
          <w:p w14:paraId="433B5683" w14:textId="77777777" w:rsidR="005538FF" w:rsidRPr="00C16FF6" w:rsidRDefault="005538FF" w:rsidP="00A916D5">
            <w:pPr>
              <w:spacing w:before="20" w:after="20"/>
              <w:jc w:val="center"/>
              <w:rPr>
                <w:szCs w:val="22"/>
              </w:rPr>
            </w:pPr>
            <w:r w:rsidRPr="00C16FF6">
              <w:rPr>
                <w:szCs w:val="22"/>
              </w:rPr>
              <w:t>10</w:t>
            </w:r>
          </w:p>
        </w:tc>
        <w:tc>
          <w:tcPr>
            <w:tcW w:w="8370" w:type="dxa"/>
            <w:tcBorders>
              <w:left w:val="single" w:sz="12" w:space="0" w:color="auto"/>
            </w:tcBorders>
            <w:vAlign w:val="center"/>
          </w:tcPr>
          <w:p w14:paraId="5672BE4C" w14:textId="77777777" w:rsidR="005538FF" w:rsidRPr="00C16FF6" w:rsidRDefault="005538FF" w:rsidP="00A916D5">
            <w:pPr>
              <w:spacing w:before="20" w:after="20"/>
              <w:ind w:left="-18"/>
              <w:rPr>
                <w:szCs w:val="22"/>
              </w:rPr>
            </w:pPr>
            <w:r w:rsidRPr="00C16FF6">
              <w:rPr>
                <w:szCs w:val="22"/>
              </w:rPr>
              <w:t>Determination of Carbon Monoxide Emissions from Stationary Sources</w:t>
            </w:r>
          </w:p>
          <w:p w14:paraId="0AFB5A3B" w14:textId="77777777" w:rsidR="005538FF" w:rsidRPr="00C16FF6" w:rsidRDefault="005538FF" w:rsidP="00A916D5">
            <w:pPr>
              <w:spacing w:before="20" w:after="20"/>
              <w:ind w:left="-18"/>
              <w:rPr>
                <w:szCs w:val="22"/>
              </w:rPr>
            </w:pPr>
            <w:r w:rsidRPr="00C16FF6">
              <w:rPr>
                <w:szCs w:val="22"/>
              </w:rPr>
              <w:t>{Notes:  The method shall be based on a continuous sampling train.}</w:t>
            </w:r>
          </w:p>
        </w:tc>
      </w:tr>
      <w:tr w:rsidR="005538FF" w:rsidRPr="00C16FF6" w14:paraId="121B4E08" w14:textId="77777777" w:rsidTr="005538FF">
        <w:tc>
          <w:tcPr>
            <w:tcW w:w="992" w:type="dxa"/>
            <w:tcBorders>
              <w:right w:val="single" w:sz="12" w:space="0" w:color="auto"/>
            </w:tcBorders>
            <w:vAlign w:val="center"/>
          </w:tcPr>
          <w:p w14:paraId="7B5327ED" w14:textId="77777777" w:rsidR="005538FF" w:rsidRPr="00C16FF6" w:rsidRDefault="005538FF" w:rsidP="00A916D5">
            <w:pPr>
              <w:spacing w:before="20" w:after="20"/>
              <w:jc w:val="center"/>
              <w:rPr>
                <w:szCs w:val="22"/>
              </w:rPr>
            </w:pPr>
            <w:r w:rsidRPr="00C16FF6">
              <w:rPr>
                <w:szCs w:val="22"/>
              </w:rPr>
              <w:t>18</w:t>
            </w:r>
          </w:p>
        </w:tc>
        <w:tc>
          <w:tcPr>
            <w:tcW w:w="8370" w:type="dxa"/>
            <w:tcBorders>
              <w:left w:val="single" w:sz="12" w:space="0" w:color="auto"/>
            </w:tcBorders>
            <w:vAlign w:val="center"/>
          </w:tcPr>
          <w:p w14:paraId="402FA27D" w14:textId="77777777" w:rsidR="005538FF" w:rsidRPr="00C16FF6" w:rsidRDefault="005538FF" w:rsidP="00A916D5">
            <w:pPr>
              <w:spacing w:before="20" w:after="20"/>
              <w:ind w:left="-18"/>
              <w:rPr>
                <w:szCs w:val="22"/>
              </w:rPr>
            </w:pPr>
            <w:r w:rsidRPr="00C16FF6">
              <w:rPr>
                <w:szCs w:val="22"/>
              </w:rPr>
              <w:t>Measurement of Gaseous Organic Compound Emissions by Gas Chromatography</w:t>
            </w:r>
          </w:p>
          <w:p w14:paraId="7E7964C1" w14:textId="77777777" w:rsidR="005538FF" w:rsidRPr="00C16FF6" w:rsidRDefault="005538FF" w:rsidP="00A916D5">
            <w:pPr>
              <w:spacing w:before="20" w:after="20"/>
              <w:ind w:left="-18"/>
              <w:rPr>
                <w:szCs w:val="22"/>
              </w:rPr>
            </w:pPr>
            <w:r w:rsidRPr="00C16FF6">
              <w:rPr>
                <w:szCs w:val="22"/>
              </w:rPr>
              <w:t>{Note:  EPA Method 18 may be used (optional) concurrently with EPA Method 25A to deduct emissions of methane and ethane from the measured VOC emissions.}</w:t>
            </w:r>
          </w:p>
        </w:tc>
      </w:tr>
      <w:tr w:rsidR="005538FF" w:rsidRPr="00C16FF6" w14:paraId="01D1EE13" w14:textId="77777777" w:rsidTr="005538FF">
        <w:tc>
          <w:tcPr>
            <w:tcW w:w="992" w:type="dxa"/>
            <w:tcBorders>
              <w:right w:val="single" w:sz="12" w:space="0" w:color="auto"/>
            </w:tcBorders>
            <w:vAlign w:val="center"/>
          </w:tcPr>
          <w:p w14:paraId="3C8D3D95" w14:textId="77777777" w:rsidR="005538FF" w:rsidRPr="00C16FF6" w:rsidRDefault="005538FF" w:rsidP="00A916D5">
            <w:pPr>
              <w:spacing w:before="20" w:after="20"/>
              <w:jc w:val="center"/>
              <w:rPr>
                <w:szCs w:val="22"/>
              </w:rPr>
            </w:pPr>
            <w:r w:rsidRPr="00C16FF6">
              <w:rPr>
                <w:szCs w:val="22"/>
              </w:rPr>
              <w:t>20</w:t>
            </w:r>
          </w:p>
        </w:tc>
        <w:tc>
          <w:tcPr>
            <w:tcW w:w="8370" w:type="dxa"/>
            <w:tcBorders>
              <w:left w:val="single" w:sz="12" w:space="0" w:color="auto"/>
            </w:tcBorders>
            <w:vAlign w:val="center"/>
          </w:tcPr>
          <w:p w14:paraId="11804B35" w14:textId="77777777" w:rsidR="005538FF" w:rsidRPr="00C16FF6" w:rsidRDefault="005538FF" w:rsidP="00A916D5">
            <w:pPr>
              <w:spacing w:before="20" w:after="20"/>
              <w:ind w:left="-18"/>
              <w:rPr>
                <w:szCs w:val="22"/>
              </w:rPr>
            </w:pPr>
            <w:r w:rsidRPr="00C16FF6">
              <w:rPr>
                <w:szCs w:val="22"/>
              </w:rPr>
              <w:t>Determination of Nitrogen Oxides, Sulfur Dioxide and Diluent Emissions from Stationary Gas Turbines</w:t>
            </w:r>
          </w:p>
        </w:tc>
      </w:tr>
      <w:tr w:rsidR="005538FF" w:rsidRPr="00C16FF6" w14:paraId="1775193D" w14:textId="77777777" w:rsidTr="005538FF">
        <w:trPr>
          <w:trHeight w:val="408"/>
        </w:trPr>
        <w:tc>
          <w:tcPr>
            <w:tcW w:w="992" w:type="dxa"/>
            <w:tcBorders>
              <w:bottom w:val="single" w:sz="12" w:space="0" w:color="auto"/>
              <w:right w:val="single" w:sz="12" w:space="0" w:color="auto"/>
            </w:tcBorders>
            <w:vAlign w:val="center"/>
          </w:tcPr>
          <w:p w14:paraId="6DA6FCC2" w14:textId="77777777" w:rsidR="005538FF" w:rsidRPr="00C16FF6" w:rsidRDefault="005538FF" w:rsidP="00A916D5">
            <w:pPr>
              <w:spacing w:before="20" w:after="20"/>
              <w:jc w:val="center"/>
              <w:rPr>
                <w:szCs w:val="22"/>
              </w:rPr>
            </w:pPr>
            <w:r w:rsidRPr="00C16FF6">
              <w:rPr>
                <w:szCs w:val="22"/>
              </w:rPr>
              <w:t>25A</w:t>
            </w:r>
          </w:p>
        </w:tc>
        <w:tc>
          <w:tcPr>
            <w:tcW w:w="8370" w:type="dxa"/>
            <w:tcBorders>
              <w:left w:val="single" w:sz="12" w:space="0" w:color="auto"/>
            </w:tcBorders>
            <w:vAlign w:val="center"/>
          </w:tcPr>
          <w:p w14:paraId="3A3B7E9D" w14:textId="77777777" w:rsidR="005538FF" w:rsidRPr="00C16FF6" w:rsidRDefault="005538FF" w:rsidP="00A916D5">
            <w:pPr>
              <w:spacing w:before="20" w:after="20"/>
              <w:ind w:left="-18"/>
              <w:rPr>
                <w:szCs w:val="22"/>
              </w:rPr>
            </w:pPr>
            <w:r w:rsidRPr="00C16FF6">
              <w:rPr>
                <w:szCs w:val="22"/>
              </w:rPr>
              <w:t>Determination of Volatile Organic Concentrations</w:t>
            </w:r>
          </w:p>
        </w:tc>
      </w:tr>
    </w:tbl>
    <w:p w14:paraId="7934C111" w14:textId="00C78802" w:rsidR="005538FF" w:rsidRPr="00C20EEA" w:rsidRDefault="005538FF" w:rsidP="005538FF">
      <w:pPr>
        <w:spacing w:after="120"/>
        <w:ind w:left="360"/>
        <w:rPr>
          <w:szCs w:val="22"/>
        </w:rPr>
      </w:pPr>
      <w:r w:rsidRPr="00C20EEA">
        <w:rPr>
          <w:szCs w:val="22"/>
        </w:rPr>
        <w:t xml:space="preserve">Method CTM-027 is published on EPA’s Technology Transfer Network Web Site at </w:t>
      </w:r>
      <w:hyperlink r:id="rId59" w:history="1">
        <w:r w:rsidRPr="00C20EEA">
          <w:rPr>
            <w:rStyle w:val="Hyperlink"/>
            <w:szCs w:val="22"/>
            <w:u w:val="none"/>
          </w:rPr>
          <w:t>http://www.epa.gov/ttn/emc/ctm.html</w:t>
        </w:r>
      </w:hyperlink>
      <w:r w:rsidRPr="00C20EEA">
        <w:rPr>
          <w:szCs w:val="22"/>
        </w:rPr>
        <w:t xml:space="preserve"> and </w:t>
      </w:r>
      <w:r w:rsidRPr="00C20EEA">
        <w:rPr>
          <w:szCs w:val="22"/>
          <w:vertAlign w:val="superscript"/>
        </w:rPr>
        <w:t>1</w:t>
      </w:r>
      <w:r w:rsidRPr="00C20EEA">
        <w:rPr>
          <w:szCs w:val="22"/>
        </w:rPr>
        <w:t>see Appendix ASP, Alternative Sampling Procedure.  The other methods are described in Appendix A of 40 CFR 60, adopted by reference in Rule 62-204.800, F.A.C.  No other methods may be used unless prior written approval is received from the Department.  [Rule 62-204.800, F.A.C.; 40 CFR 60, Appendix A; and, Permit No. 0850001-010-AC/ PSD-FL-327]</w:t>
      </w:r>
    </w:p>
    <w:p w14:paraId="44CE5C87" w14:textId="7B8D9789" w:rsidR="005538FF" w:rsidRPr="00C20EEA" w:rsidRDefault="00997049" w:rsidP="00997049">
      <w:pPr>
        <w:numPr>
          <w:ilvl w:val="0"/>
          <w:numId w:val="22"/>
        </w:numPr>
        <w:spacing w:before="120" w:after="120"/>
        <w:ind w:left="360"/>
        <w:rPr>
          <w:rFonts w:eastAsia="Calibri"/>
          <w:szCs w:val="22"/>
        </w:rPr>
      </w:pPr>
      <w:bookmarkStart w:id="213" w:name="_Hlk520472458"/>
      <w:r w:rsidRPr="00C16FF6">
        <w:rPr>
          <w:szCs w:val="22"/>
          <w:u w:val="single"/>
        </w:rPr>
        <w:t>Annual Compliance Tests</w:t>
      </w:r>
      <w:r w:rsidRPr="00C16FF6">
        <w:rPr>
          <w:szCs w:val="22"/>
        </w:rPr>
        <w:t xml:space="preserve">.  During each </w:t>
      </w:r>
      <w:r w:rsidRPr="00211CF0">
        <w:rPr>
          <w:szCs w:val="22"/>
        </w:rPr>
        <w:t>calendar</w:t>
      </w:r>
      <w:r w:rsidRPr="00C16FF6">
        <w:rPr>
          <w:szCs w:val="22"/>
        </w:rPr>
        <w:t xml:space="preserve"> year </w:t>
      </w:r>
      <w:r w:rsidRPr="00211CF0">
        <w:rPr>
          <w:szCs w:val="22"/>
        </w:rPr>
        <w:t>(January 1st to December 31st)</w:t>
      </w:r>
      <w:r w:rsidRPr="00C16FF6">
        <w:rPr>
          <w:szCs w:val="22"/>
        </w:rPr>
        <w:t xml:space="preserve">, each gas turbine shall be tested to demonstrate compliance with the emission standards for </w:t>
      </w:r>
      <w:r w:rsidRPr="00C20EEA">
        <w:rPr>
          <w:szCs w:val="22"/>
        </w:rPr>
        <w:t>VE and CO (if a CO CEMS is not used).  Annual testing to determine the ammonia slip shall be conducted while firing the primary fuel.  CEMS data collected during the required Relative Accuracy Test Assessments (RATA) may be used to demonstrate compliance with the CO</w:t>
      </w:r>
      <w:r w:rsidR="001436B3" w:rsidRPr="00C20EEA">
        <w:rPr>
          <w:szCs w:val="22"/>
        </w:rPr>
        <w:t xml:space="preserve"> (if the optional CO CEMS is used)</w:t>
      </w:r>
      <w:r w:rsidRPr="00C20EEA">
        <w:rPr>
          <w:szCs w:val="22"/>
        </w:rPr>
        <w:t xml:space="preserve"> and NO</w:t>
      </w:r>
      <w:r w:rsidRPr="00C20EEA">
        <w:rPr>
          <w:szCs w:val="22"/>
          <w:vertAlign w:val="subscript"/>
        </w:rPr>
        <w:t>X</w:t>
      </w:r>
      <w:r w:rsidRPr="00C20EEA">
        <w:rPr>
          <w:szCs w:val="22"/>
        </w:rPr>
        <w:t xml:space="preserve"> standards.  NO</w:t>
      </w:r>
      <w:r w:rsidRPr="00C20EEA">
        <w:rPr>
          <w:szCs w:val="22"/>
          <w:vertAlign w:val="subscript"/>
        </w:rPr>
        <w:t>X</w:t>
      </w:r>
      <w:r w:rsidRPr="00C20EEA">
        <w:rPr>
          <w:szCs w:val="22"/>
        </w:rPr>
        <w:t xml:space="preserve"> emissions recorded by the CEMS shall be reported for each ammonia slip test run.  </w:t>
      </w:r>
      <w:r w:rsidR="001436B3" w:rsidRPr="00C20EEA">
        <w:rPr>
          <w:szCs w:val="22"/>
        </w:rPr>
        <w:t xml:space="preserve">If an optional CO CEMS is used, </w:t>
      </w:r>
      <w:r w:rsidRPr="00C20EEA">
        <w:rPr>
          <w:szCs w:val="22"/>
        </w:rPr>
        <w:t>CO emissions recorded by the CEMS shall be reported for the VE observation period.  VOC testing is only required if the CO CEMS</w:t>
      </w:r>
      <w:r w:rsidR="001436B3" w:rsidRPr="00C20EEA">
        <w:rPr>
          <w:szCs w:val="22"/>
        </w:rPr>
        <w:t xml:space="preserve"> </w:t>
      </w:r>
      <w:r w:rsidR="000E4A75" w:rsidRPr="00C20EEA">
        <w:rPr>
          <w:szCs w:val="22"/>
        </w:rPr>
        <w:t xml:space="preserve">(optional) </w:t>
      </w:r>
      <w:r w:rsidR="001436B3" w:rsidRPr="00C20EEA">
        <w:rPr>
          <w:szCs w:val="22"/>
        </w:rPr>
        <w:t>and/or stack test</w:t>
      </w:r>
      <w:r w:rsidRPr="00C20EEA">
        <w:rPr>
          <w:szCs w:val="22"/>
        </w:rPr>
        <w:t xml:space="preserve"> indicates an exceedance of the CO standard.  [Rules 62-212.400(BACT) &amp; 62-297.310, F.A.C.; and, Permit No. 0850001-010-AC/PSD-FL-327</w:t>
      </w:r>
      <w:r w:rsidR="003038AD" w:rsidRPr="00C20EEA">
        <w:rPr>
          <w:szCs w:val="22"/>
        </w:rPr>
        <w:t>, 0850001-032-AC/PSD-FL-146H &amp; 327F</w:t>
      </w:r>
      <w:r w:rsidR="000E4A75" w:rsidRPr="00C20EEA">
        <w:rPr>
          <w:szCs w:val="22"/>
        </w:rPr>
        <w:t xml:space="preserve"> &amp; 0850001-041-AC/PSD-FL-146J &amp; 327G]</w:t>
      </w:r>
      <w:bookmarkEnd w:id="213"/>
    </w:p>
    <w:p w14:paraId="073038CE" w14:textId="654FC6C9" w:rsidR="00997049" w:rsidRPr="00C20EEA" w:rsidRDefault="00997049" w:rsidP="00997049">
      <w:pPr>
        <w:numPr>
          <w:ilvl w:val="0"/>
          <w:numId w:val="22"/>
        </w:numPr>
        <w:spacing w:before="120" w:after="120"/>
        <w:ind w:left="360"/>
        <w:rPr>
          <w:rFonts w:eastAsia="Calibri"/>
          <w:szCs w:val="22"/>
        </w:rPr>
      </w:pPr>
      <w:bookmarkStart w:id="214" w:name="_Hlk520472493"/>
      <w:r w:rsidRPr="00C16FF6">
        <w:rPr>
          <w:szCs w:val="22"/>
          <w:u w:val="single"/>
        </w:rPr>
        <w:t>Compliance Tests Prior To Renewal</w:t>
      </w:r>
      <w:r w:rsidRPr="00C16FF6">
        <w:rPr>
          <w:szCs w:val="22"/>
        </w:rPr>
        <w:t xml:space="preserve">.  </w:t>
      </w:r>
      <w:r w:rsidRPr="00C20EEA">
        <w:rPr>
          <w:szCs w:val="22"/>
        </w:rPr>
        <w:t>Unless specifically exempted per Florida Chapter 62-297, F.A.C., prior to permit renewal, compliance tests shall be performed for the following pollutants:  VE, CO, NO</w:t>
      </w:r>
      <w:r w:rsidRPr="00C20EEA">
        <w:rPr>
          <w:szCs w:val="22"/>
          <w:vertAlign w:val="subscript"/>
        </w:rPr>
        <w:t>X</w:t>
      </w:r>
      <w:r w:rsidRPr="00C20EEA">
        <w:rPr>
          <w:szCs w:val="22"/>
        </w:rPr>
        <w:t xml:space="preserve"> and ammonia slip.</w:t>
      </w:r>
      <w:r w:rsidR="000E4A75" w:rsidRPr="00C20EEA">
        <w:rPr>
          <w:szCs w:val="22"/>
        </w:rPr>
        <w:t xml:space="preserve">  VOC testing is only required if the CO CEMS (optional) and/or stack test indicates an exceedance of the CO standard.</w:t>
      </w:r>
      <w:r w:rsidRPr="00C20EEA">
        <w:rPr>
          <w:szCs w:val="22"/>
        </w:rPr>
        <w:t xml:space="preserve">  [Rule 62-297.310, F.A.C.; and, Permit Nos. 0850001-010-AC</w:t>
      </w:r>
      <w:r w:rsidR="000E4A75" w:rsidRPr="00C20EEA">
        <w:rPr>
          <w:szCs w:val="22"/>
        </w:rPr>
        <w:t>/</w:t>
      </w:r>
      <w:r w:rsidRPr="00C20EEA">
        <w:rPr>
          <w:szCs w:val="22"/>
        </w:rPr>
        <w:t xml:space="preserve"> PSD-FL-327</w:t>
      </w:r>
      <w:r w:rsidR="000E4A75" w:rsidRPr="00C20EEA">
        <w:rPr>
          <w:szCs w:val="22"/>
        </w:rPr>
        <w:t>,</w:t>
      </w:r>
      <w:r w:rsidRPr="00C20EEA">
        <w:rPr>
          <w:szCs w:val="22"/>
        </w:rPr>
        <w:t xml:space="preserve"> 0850001-032-AC</w:t>
      </w:r>
      <w:r w:rsidR="002D39D2" w:rsidRPr="00C20EEA">
        <w:rPr>
          <w:szCs w:val="22"/>
        </w:rPr>
        <w:t>/</w:t>
      </w:r>
      <w:r w:rsidRPr="00C20EEA">
        <w:rPr>
          <w:szCs w:val="22"/>
        </w:rPr>
        <w:t xml:space="preserve">PSD-FL-146H </w:t>
      </w:r>
      <w:r w:rsidR="002D39D2" w:rsidRPr="00C20EEA">
        <w:rPr>
          <w:szCs w:val="22"/>
        </w:rPr>
        <w:t xml:space="preserve">&amp; </w:t>
      </w:r>
      <w:r w:rsidRPr="00C20EEA">
        <w:rPr>
          <w:szCs w:val="22"/>
        </w:rPr>
        <w:t>327F</w:t>
      </w:r>
      <w:r w:rsidR="002D39D2" w:rsidRPr="00C20EEA">
        <w:rPr>
          <w:szCs w:val="22"/>
        </w:rPr>
        <w:t xml:space="preserve"> &amp; 0850001-041-AC/PSD-FL-146J &amp; 327G]</w:t>
      </w:r>
    </w:p>
    <w:bookmarkEnd w:id="214"/>
    <w:p w14:paraId="7A3A03A5" w14:textId="1F223276" w:rsidR="00FC2A17" w:rsidRPr="00FC2A17" w:rsidRDefault="00FC2A17" w:rsidP="00997049">
      <w:pPr>
        <w:numPr>
          <w:ilvl w:val="0"/>
          <w:numId w:val="22"/>
        </w:numPr>
        <w:spacing w:before="120" w:after="120"/>
        <w:ind w:left="360"/>
        <w:rPr>
          <w:rFonts w:eastAsia="Calibri"/>
          <w:szCs w:val="22"/>
          <w:u w:val="single"/>
        </w:rPr>
      </w:pPr>
      <w:r w:rsidRPr="00C16FF6">
        <w:rPr>
          <w:szCs w:val="22"/>
          <w:u w:val="single"/>
        </w:rPr>
        <w:t>Common Testing Requirements</w:t>
      </w:r>
      <w:r w:rsidRPr="00C16FF6">
        <w:rPr>
          <w:szCs w:val="22"/>
        </w:rPr>
        <w:t>.  Unless otherwise specified, tests shall be conducted in accordance with the requirements and procedures specified in Appendix TR, Facility-Wide Testing Requirements, of this permit.  [Rule 62-297.310, F.A.C.]</w:t>
      </w:r>
    </w:p>
    <w:p w14:paraId="32A13D2C" w14:textId="0161DDED" w:rsidR="00FC2A17" w:rsidRPr="00FC2A17" w:rsidRDefault="00FC2A17" w:rsidP="00997049">
      <w:pPr>
        <w:numPr>
          <w:ilvl w:val="0"/>
          <w:numId w:val="22"/>
        </w:numPr>
        <w:spacing w:before="120" w:after="120"/>
        <w:ind w:left="360"/>
        <w:rPr>
          <w:rFonts w:eastAsia="Calibri"/>
          <w:szCs w:val="22"/>
          <w:u w:val="single"/>
        </w:rPr>
      </w:pPr>
      <w:r w:rsidRPr="00C16FF6">
        <w:rPr>
          <w:szCs w:val="22"/>
          <w:u w:val="single"/>
        </w:rPr>
        <w:t>Special Compliance Determinations</w:t>
      </w:r>
      <w:r w:rsidRPr="00C16FF6">
        <w:rPr>
          <w:szCs w:val="22"/>
        </w:rPr>
        <w:t>.  Based on a specific condition of permit No. 0850001-010-AC, the Department may require the permittee to conduct additional tests after major replacement or major repair of any air pollution control equipment, such as the SCR catalyst, DLN combustors, etc.  Each gas turbine shall be stack tested to demonstrate compliance with the emission standards for CO, NO</w:t>
      </w:r>
      <w:r w:rsidRPr="00C16FF6">
        <w:rPr>
          <w:szCs w:val="22"/>
          <w:vertAlign w:val="subscript"/>
        </w:rPr>
        <w:t>X</w:t>
      </w:r>
      <w:r w:rsidRPr="00C16FF6">
        <w:rPr>
          <w:szCs w:val="22"/>
        </w:rPr>
        <w:t>, VOC, visible emissions, and ammonia slip.  The tests shall be conducted within 60 days after achieving the maximum production rate at which the unit will be operated for each unit configuration (i.e., combined cycle operation), but not later than 180 days after startup of each unit configuration.  Each unit shall be tested when firing natural gas and distillate oil.  CEMS data collected during the required Relative Accuracy Test Assessments (RATA) may be used to demonstrate compliance with the CO and NO</w:t>
      </w:r>
      <w:r w:rsidRPr="00C16FF6">
        <w:rPr>
          <w:szCs w:val="22"/>
          <w:vertAlign w:val="subscript"/>
        </w:rPr>
        <w:t>X</w:t>
      </w:r>
      <w:r w:rsidRPr="00C16FF6">
        <w:rPr>
          <w:szCs w:val="22"/>
        </w:rPr>
        <w:t xml:space="preserve"> standards.  With appropriate flow measurements (or fuel measurements and approved F-factors), CEMS data may be used to demonstrate compliance with the CO and NO</w:t>
      </w:r>
      <w:r w:rsidRPr="00C16FF6">
        <w:rPr>
          <w:szCs w:val="22"/>
          <w:vertAlign w:val="subscript"/>
        </w:rPr>
        <w:t>X</w:t>
      </w:r>
      <w:r w:rsidRPr="00C16FF6">
        <w:rPr>
          <w:szCs w:val="22"/>
        </w:rPr>
        <w:t xml:space="preserve"> mass rate emissions standards.  CO and NO</w:t>
      </w:r>
      <w:r w:rsidRPr="00C16FF6">
        <w:rPr>
          <w:szCs w:val="22"/>
          <w:vertAlign w:val="subscript"/>
        </w:rPr>
        <w:t>X</w:t>
      </w:r>
      <w:r w:rsidRPr="00C16FF6">
        <w:rPr>
          <w:szCs w:val="22"/>
        </w:rPr>
        <w:t xml:space="preserve"> emissions recorded by the CEMS shall also be reported for each run during tests for visible emissions, VOC and ammonia slip.  [Rule 62-297.310, F.A.C.; 40 CFR 60.8; and, Permit No. 0850001-010-AC, Specific Condition 20]</w:t>
      </w:r>
    </w:p>
    <w:p w14:paraId="4A06E589" w14:textId="439CCCAF" w:rsidR="002D39D2" w:rsidRPr="00C20EEA" w:rsidRDefault="002D39D2" w:rsidP="00997049">
      <w:pPr>
        <w:numPr>
          <w:ilvl w:val="0"/>
          <w:numId w:val="22"/>
        </w:numPr>
        <w:spacing w:before="120" w:after="120"/>
        <w:ind w:left="360"/>
        <w:rPr>
          <w:rFonts w:eastAsia="Calibri"/>
          <w:szCs w:val="22"/>
        </w:rPr>
      </w:pPr>
      <w:bookmarkStart w:id="215" w:name="_Hlk520472525"/>
      <w:r w:rsidRPr="00C16FF6">
        <w:rPr>
          <w:szCs w:val="22"/>
          <w:u w:val="single"/>
        </w:rPr>
        <w:t>Continuous Compliance</w:t>
      </w:r>
      <w:r w:rsidRPr="00C16FF6">
        <w:rPr>
          <w:szCs w:val="22"/>
        </w:rPr>
        <w:t>.  The permittee shall demonstrate continuous compliance with the NO</w:t>
      </w:r>
      <w:r w:rsidRPr="00C16FF6">
        <w:rPr>
          <w:szCs w:val="22"/>
          <w:vertAlign w:val="subscript"/>
        </w:rPr>
        <w:t>X</w:t>
      </w:r>
      <w:r w:rsidRPr="00C16FF6">
        <w:rPr>
          <w:szCs w:val="22"/>
        </w:rPr>
        <w:t xml:space="preserve"> emissions standards based on data collected by the certified CEMS.</w:t>
      </w:r>
      <w:r w:rsidR="003D0764">
        <w:rPr>
          <w:szCs w:val="22"/>
        </w:rPr>
        <w:t xml:space="preserve">  </w:t>
      </w:r>
      <w:r w:rsidR="003D0764" w:rsidRPr="00C20EEA">
        <w:t>The permittee shall demonstrate compliance with the CO emissions standards using data collected by a certified CEMS if an optional CO CEMS is used.</w:t>
      </w:r>
      <w:r w:rsidRPr="00C20EEA">
        <w:rPr>
          <w:szCs w:val="22"/>
        </w:rPr>
        <w:t xml:space="preserve">  Within 45 days of conducting any Relative A</w:t>
      </w:r>
      <w:r w:rsidRPr="00C16FF6">
        <w:rPr>
          <w:szCs w:val="22"/>
        </w:rPr>
        <w:t xml:space="preserve">ccuracy Test Assessments (RATA) on a CEMS, the permittee shall submit a report to the Compliance Authority summarizing results of the RATA.  Compliance with the CO emission standards also serves as an indicator of efficient fuel combustion, which reduces emissions of particulate matter and volatile organic compounds.  </w:t>
      </w:r>
      <w:r w:rsidRPr="00C20EEA">
        <w:rPr>
          <w:szCs w:val="22"/>
        </w:rPr>
        <w:t>[Permit No</w:t>
      </w:r>
      <w:r w:rsidR="003038AD" w:rsidRPr="00C20EEA">
        <w:rPr>
          <w:szCs w:val="22"/>
        </w:rPr>
        <w:t>s</w:t>
      </w:r>
      <w:r w:rsidRPr="00C20EEA">
        <w:rPr>
          <w:szCs w:val="22"/>
        </w:rPr>
        <w:t>. 0850001-010-AC</w:t>
      </w:r>
      <w:r w:rsidR="003D0764" w:rsidRPr="00C20EEA">
        <w:rPr>
          <w:szCs w:val="22"/>
        </w:rPr>
        <w:t>/</w:t>
      </w:r>
      <w:r w:rsidRPr="00C20EEA">
        <w:rPr>
          <w:szCs w:val="22"/>
        </w:rPr>
        <w:t>PSD-FL-327</w:t>
      </w:r>
      <w:r w:rsidR="003D0764" w:rsidRPr="00C20EEA">
        <w:rPr>
          <w:szCs w:val="22"/>
        </w:rPr>
        <w:t xml:space="preserve"> </w:t>
      </w:r>
      <w:r w:rsidR="003038AD" w:rsidRPr="00C20EEA">
        <w:rPr>
          <w:szCs w:val="22"/>
        </w:rPr>
        <w:t xml:space="preserve">&amp; </w:t>
      </w:r>
      <w:r w:rsidR="003D0764" w:rsidRPr="00C20EEA">
        <w:rPr>
          <w:szCs w:val="22"/>
        </w:rPr>
        <w:t>0850001-041-AC/PSD-FL-146J &amp; 327G</w:t>
      </w:r>
      <w:r w:rsidRPr="00C20EEA">
        <w:rPr>
          <w:szCs w:val="22"/>
        </w:rPr>
        <w:t>]</w:t>
      </w:r>
    </w:p>
    <w:p w14:paraId="0D2CDC02" w14:textId="77777777" w:rsidR="003D0764" w:rsidRPr="00C16FF6" w:rsidRDefault="003D0764" w:rsidP="003D0764">
      <w:pPr>
        <w:numPr>
          <w:ilvl w:val="0"/>
          <w:numId w:val="22"/>
        </w:numPr>
        <w:spacing w:before="120"/>
        <w:ind w:left="360"/>
        <w:rPr>
          <w:szCs w:val="22"/>
        </w:rPr>
      </w:pPr>
      <w:bookmarkStart w:id="216" w:name="_Ref504134163"/>
      <w:bookmarkEnd w:id="215"/>
      <w:r w:rsidRPr="00C16FF6">
        <w:rPr>
          <w:szCs w:val="22"/>
          <w:u w:val="single"/>
        </w:rPr>
        <w:t>Additional Ammonia Slip Testing</w:t>
      </w:r>
      <w:r w:rsidRPr="00C16FF6">
        <w:rPr>
          <w:szCs w:val="22"/>
        </w:rPr>
        <w:t>.  If the tested ammonia slip rate for a gas turbine exceeds 5 ppmvd corrected to 15% oxygen when firing natural gas during the annual test, the permittee shall:</w:t>
      </w:r>
      <w:bookmarkStart w:id="217" w:name="SlipTesting"/>
      <w:bookmarkEnd w:id="216"/>
      <w:bookmarkEnd w:id="217"/>
    </w:p>
    <w:p w14:paraId="0D0100E3" w14:textId="77777777" w:rsidR="003D0764" w:rsidRPr="00C16FF6" w:rsidRDefault="003D0764" w:rsidP="00114020">
      <w:pPr>
        <w:widowControl w:val="0"/>
        <w:numPr>
          <w:ilvl w:val="0"/>
          <w:numId w:val="105"/>
        </w:numPr>
        <w:tabs>
          <w:tab w:val="clear" w:pos="720"/>
        </w:tabs>
        <w:ind w:left="720" w:hanging="360"/>
        <w:rPr>
          <w:szCs w:val="22"/>
        </w:rPr>
      </w:pPr>
      <w:bookmarkStart w:id="218" w:name="slip"/>
      <w:bookmarkEnd w:id="218"/>
      <w:r w:rsidRPr="00C16FF6">
        <w:rPr>
          <w:szCs w:val="22"/>
        </w:rPr>
        <w:t>Begin testing and reporting the ammonia slip for each subsequent calendar quarter;</w:t>
      </w:r>
    </w:p>
    <w:p w14:paraId="7A8BB4DE" w14:textId="77777777" w:rsidR="003D0764" w:rsidRPr="00C16FF6" w:rsidRDefault="003D0764" w:rsidP="00114020">
      <w:pPr>
        <w:widowControl w:val="0"/>
        <w:numPr>
          <w:ilvl w:val="0"/>
          <w:numId w:val="105"/>
        </w:numPr>
        <w:tabs>
          <w:tab w:val="clear" w:pos="720"/>
        </w:tabs>
        <w:ind w:left="720" w:hanging="360"/>
        <w:rPr>
          <w:szCs w:val="22"/>
        </w:rPr>
      </w:pPr>
      <w:r w:rsidRPr="00C16FF6">
        <w:rPr>
          <w:szCs w:val="22"/>
        </w:rPr>
        <w:t>Before the ammonia slip exceeds 7 ppmvd corrected to 15% oxygen, take corrective actions that result in lowering the ammonia slip to less than 5 ppmvd corrected to 15% oxygen; and</w:t>
      </w:r>
    </w:p>
    <w:p w14:paraId="5CA68F86" w14:textId="77777777" w:rsidR="003D0764" w:rsidRPr="00C16FF6" w:rsidRDefault="003D0764" w:rsidP="00114020">
      <w:pPr>
        <w:widowControl w:val="0"/>
        <w:numPr>
          <w:ilvl w:val="0"/>
          <w:numId w:val="105"/>
        </w:numPr>
        <w:tabs>
          <w:tab w:val="clear" w:pos="720"/>
        </w:tabs>
        <w:ind w:left="720" w:hanging="360"/>
        <w:rPr>
          <w:szCs w:val="22"/>
        </w:rPr>
      </w:pPr>
      <w:r w:rsidRPr="00C16FF6">
        <w:rPr>
          <w:szCs w:val="22"/>
        </w:rPr>
        <w:t>Test and demonstrate that the ammonia slip is no more than 5 ppmvd corrected to 15% oxygen within 15 days after completing the corrective actions.</w:t>
      </w:r>
    </w:p>
    <w:p w14:paraId="3B2606CD" w14:textId="5106FF02" w:rsidR="003D0764" w:rsidRDefault="003D0764" w:rsidP="003D0764">
      <w:pPr>
        <w:spacing w:after="120"/>
        <w:ind w:left="360"/>
        <w:rPr>
          <w:szCs w:val="22"/>
        </w:rPr>
      </w:pPr>
      <w:r w:rsidRPr="00C16FF6">
        <w:rPr>
          <w:szCs w:val="22"/>
        </w:rPr>
        <w:t>Corrective actions may include, but are not limited to, adding catalyst, replacing catalyst, or other SCR system maintenance or repair.  After demonstrating that the ammonia slip level is no more than 5 ppmvd corrected to 15% oxygen, testing and reporting shall resume on an annual basis.  [Permit No. 0850001-010-AC</w:t>
      </w:r>
      <w:r w:rsidRPr="00C20EEA">
        <w:rPr>
          <w:szCs w:val="22"/>
        </w:rPr>
        <w:t>/</w:t>
      </w:r>
      <w:r w:rsidRPr="00C16FF6">
        <w:rPr>
          <w:szCs w:val="22"/>
        </w:rPr>
        <w:t>PSD-FL-327]</w:t>
      </w:r>
    </w:p>
    <w:p w14:paraId="05D3E151" w14:textId="77777777" w:rsidR="003D0764" w:rsidRPr="00C16FF6" w:rsidRDefault="003D0764" w:rsidP="003D0764">
      <w:pPr>
        <w:spacing w:after="120"/>
        <w:ind w:left="360" w:hanging="360"/>
        <w:rPr>
          <w:b/>
          <w:szCs w:val="22"/>
          <w:u w:val="single"/>
        </w:rPr>
      </w:pPr>
      <w:r w:rsidRPr="00C16FF6">
        <w:rPr>
          <w:b/>
          <w:szCs w:val="22"/>
          <w:u w:val="single"/>
        </w:rPr>
        <w:t>Recordkeeping and Reporting Requirements</w:t>
      </w:r>
    </w:p>
    <w:p w14:paraId="2C778212" w14:textId="77777777" w:rsidR="003D0764" w:rsidRPr="00C16FF6" w:rsidRDefault="003D0764" w:rsidP="003D0764">
      <w:pPr>
        <w:numPr>
          <w:ilvl w:val="0"/>
          <w:numId w:val="22"/>
        </w:numPr>
        <w:spacing w:before="120" w:after="120"/>
        <w:ind w:left="360"/>
        <w:rPr>
          <w:szCs w:val="22"/>
        </w:rPr>
      </w:pPr>
      <w:bookmarkStart w:id="219" w:name="_Hlk523323473"/>
      <w:bookmarkStart w:id="220" w:name="_Hlk520472628"/>
      <w:r w:rsidRPr="00C16FF6">
        <w:rPr>
          <w:szCs w:val="22"/>
          <w:u w:val="single"/>
        </w:rPr>
        <w:t>Reporting Schedule</w:t>
      </w:r>
      <w:r w:rsidRPr="00C16FF6">
        <w:rPr>
          <w:szCs w:val="22"/>
        </w:rPr>
        <w:t xml:space="preserve">.  The following reports and notifications shall be submitted to the Compliance Authority:  </w:t>
      </w:r>
      <w:bookmarkEnd w:id="219"/>
    </w:p>
    <w:tbl>
      <w:tblPr>
        <w:tblW w:w="9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320"/>
        <w:gridCol w:w="2655"/>
        <w:gridCol w:w="2430"/>
      </w:tblGrid>
      <w:tr w:rsidR="003D0764" w:rsidRPr="00C16FF6" w14:paraId="7950A556" w14:textId="77777777" w:rsidTr="003D0764">
        <w:trPr>
          <w:trHeight w:val="503"/>
          <w:jc w:val="center"/>
        </w:trPr>
        <w:tc>
          <w:tcPr>
            <w:tcW w:w="4320" w:type="dxa"/>
            <w:tcBorders>
              <w:top w:val="single" w:sz="12" w:space="0" w:color="auto"/>
              <w:left w:val="single" w:sz="12" w:space="0" w:color="auto"/>
              <w:bottom w:val="single" w:sz="12" w:space="0" w:color="auto"/>
              <w:right w:val="single" w:sz="12" w:space="0" w:color="auto"/>
            </w:tcBorders>
            <w:shd w:val="clear" w:color="auto" w:fill="auto"/>
            <w:vAlign w:val="center"/>
          </w:tcPr>
          <w:p w14:paraId="7FC5B55E" w14:textId="77777777" w:rsidR="003D0764" w:rsidRPr="00C16FF6" w:rsidRDefault="003D0764" w:rsidP="00A916D5">
            <w:pPr>
              <w:tabs>
                <w:tab w:val="left" w:pos="360"/>
                <w:tab w:val="left" w:pos="720"/>
                <w:tab w:val="left" w:pos="1080"/>
                <w:tab w:val="left" w:pos="1440"/>
                <w:tab w:val="left" w:pos="1800"/>
                <w:tab w:val="left" w:pos="2160"/>
              </w:tabs>
              <w:spacing w:before="20" w:after="20" w:line="-240" w:lineRule="auto"/>
              <w:jc w:val="center"/>
              <w:rPr>
                <w:b/>
                <w:szCs w:val="22"/>
              </w:rPr>
            </w:pPr>
            <w:bookmarkStart w:id="221" w:name="_Hlk523323372"/>
            <w:r w:rsidRPr="00C16FF6">
              <w:rPr>
                <w:b/>
                <w:szCs w:val="22"/>
              </w:rPr>
              <w:t>Report</w:t>
            </w:r>
          </w:p>
        </w:tc>
        <w:tc>
          <w:tcPr>
            <w:tcW w:w="2655" w:type="dxa"/>
            <w:tcBorders>
              <w:top w:val="single" w:sz="12" w:space="0" w:color="auto"/>
              <w:left w:val="single" w:sz="12" w:space="0" w:color="auto"/>
              <w:bottom w:val="single" w:sz="12" w:space="0" w:color="auto"/>
              <w:right w:val="single" w:sz="12" w:space="0" w:color="auto"/>
            </w:tcBorders>
            <w:shd w:val="clear" w:color="auto" w:fill="auto"/>
            <w:vAlign w:val="center"/>
          </w:tcPr>
          <w:p w14:paraId="5ECBC644" w14:textId="77777777" w:rsidR="003D0764" w:rsidRPr="00C16FF6" w:rsidRDefault="003D0764" w:rsidP="00A916D5">
            <w:pPr>
              <w:tabs>
                <w:tab w:val="left" w:pos="360"/>
                <w:tab w:val="left" w:pos="720"/>
                <w:tab w:val="left" w:pos="1080"/>
                <w:tab w:val="left" w:pos="1440"/>
                <w:tab w:val="left" w:pos="1800"/>
                <w:tab w:val="left" w:pos="2160"/>
              </w:tabs>
              <w:spacing w:before="20" w:after="20" w:line="-240" w:lineRule="auto"/>
              <w:jc w:val="center"/>
              <w:rPr>
                <w:b/>
                <w:szCs w:val="22"/>
              </w:rPr>
            </w:pPr>
            <w:r w:rsidRPr="00C16FF6">
              <w:rPr>
                <w:b/>
                <w:szCs w:val="22"/>
              </w:rPr>
              <w:t>Reporting Deadline</w:t>
            </w:r>
          </w:p>
        </w:tc>
        <w:tc>
          <w:tcPr>
            <w:tcW w:w="2430" w:type="dxa"/>
            <w:tcBorders>
              <w:top w:val="single" w:sz="12" w:space="0" w:color="auto"/>
              <w:left w:val="single" w:sz="12" w:space="0" w:color="auto"/>
              <w:bottom w:val="single" w:sz="12" w:space="0" w:color="auto"/>
              <w:right w:val="single" w:sz="12" w:space="0" w:color="auto"/>
            </w:tcBorders>
            <w:shd w:val="clear" w:color="auto" w:fill="auto"/>
            <w:vAlign w:val="center"/>
          </w:tcPr>
          <w:p w14:paraId="4A8206EE" w14:textId="77777777" w:rsidR="003D0764" w:rsidRPr="00C16FF6" w:rsidRDefault="003D0764" w:rsidP="00A916D5">
            <w:pPr>
              <w:tabs>
                <w:tab w:val="left" w:pos="360"/>
                <w:tab w:val="left" w:pos="720"/>
                <w:tab w:val="left" w:pos="1080"/>
                <w:tab w:val="left" w:pos="1440"/>
                <w:tab w:val="left" w:pos="1800"/>
                <w:tab w:val="left" w:pos="2160"/>
              </w:tabs>
              <w:spacing w:before="20" w:after="20" w:line="-240" w:lineRule="auto"/>
              <w:jc w:val="center"/>
              <w:rPr>
                <w:b/>
                <w:szCs w:val="22"/>
              </w:rPr>
            </w:pPr>
            <w:r w:rsidRPr="00C16FF6">
              <w:rPr>
                <w:b/>
                <w:szCs w:val="22"/>
              </w:rPr>
              <w:t>Related Condition(s)</w:t>
            </w:r>
          </w:p>
        </w:tc>
      </w:tr>
      <w:tr w:rsidR="003D0764" w:rsidRPr="00C16FF6" w14:paraId="3EA7B99E" w14:textId="77777777" w:rsidTr="00A916D5">
        <w:trPr>
          <w:jc w:val="center"/>
        </w:trPr>
        <w:tc>
          <w:tcPr>
            <w:tcW w:w="4320" w:type="dxa"/>
            <w:tcBorders>
              <w:top w:val="single" w:sz="12" w:space="0" w:color="auto"/>
              <w:left w:val="single" w:sz="12" w:space="0" w:color="auto"/>
              <w:right w:val="single" w:sz="12" w:space="0" w:color="auto"/>
            </w:tcBorders>
            <w:vAlign w:val="center"/>
          </w:tcPr>
          <w:p w14:paraId="25E3BC05" w14:textId="77777777" w:rsidR="003D0764" w:rsidRPr="00C20EEA" w:rsidRDefault="003D0764" w:rsidP="00A916D5">
            <w:pPr>
              <w:pStyle w:val="BodyText"/>
              <w:spacing w:before="20" w:after="20"/>
              <w:ind w:right="144"/>
              <w:jc w:val="center"/>
              <w:rPr>
                <w:szCs w:val="22"/>
              </w:rPr>
            </w:pPr>
            <w:r w:rsidRPr="00C20EEA">
              <w:rPr>
                <w:szCs w:val="22"/>
              </w:rPr>
              <w:t>Notice of Capacity Monitoring</w:t>
            </w:r>
          </w:p>
        </w:tc>
        <w:tc>
          <w:tcPr>
            <w:tcW w:w="2655" w:type="dxa"/>
            <w:tcBorders>
              <w:top w:val="single" w:sz="12" w:space="0" w:color="auto"/>
              <w:left w:val="single" w:sz="12" w:space="0" w:color="auto"/>
              <w:right w:val="single" w:sz="12" w:space="0" w:color="auto"/>
            </w:tcBorders>
            <w:vAlign w:val="center"/>
          </w:tcPr>
          <w:p w14:paraId="2CB0D553" w14:textId="77777777" w:rsidR="003D0764" w:rsidRPr="00C20EEA" w:rsidRDefault="003D0764" w:rsidP="00A916D5">
            <w:pPr>
              <w:suppressAutoHyphens/>
              <w:spacing w:before="20" w:after="20"/>
              <w:ind w:right="144"/>
              <w:jc w:val="center"/>
              <w:rPr>
                <w:szCs w:val="22"/>
              </w:rPr>
            </w:pPr>
            <w:r w:rsidRPr="00C20EEA">
              <w:rPr>
                <w:szCs w:val="22"/>
              </w:rPr>
              <w:t>Daily.</w:t>
            </w:r>
          </w:p>
        </w:tc>
        <w:tc>
          <w:tcPr>
            <w:tcW w:w="2430" w:type="dxa"/>
            <w:tcBorders>
              <w:top w:val="single" w:sz="12" w:space="0" w:color="auto"/>
              <w:left w:val="single" w:sz="12" w:space="0" w:color="auto"/>
              <w:right w:val="single" w:sz="12" w:space="0" w:color="auto"/>
            </w:tcBorders>
            <w:vAlign w:val="center"/>
          </w:tcPr>
          <w:p w14:paraId="16F48BE6" w14:textId="2B3816C5" w:rsidR="003D0764" w:rsidRPr="00C20EEA" w:rsidRDefault="003D0764" w:rsidP="00A916D5">
            <w:pPr>
              <w:pStyle w:val="BodyText"/>
              <w:spacing w:before="20" w:after="20"/>
              <w:ind w:right="144"/>
              <w:jc w:val="center"/>
              <w:rPr>
                <w:b/>
                <w:szCs w:val="22"/>
              </w:rPr>
            </w:pPr>
            <w:r w:rsidRPr="00C20EEA">
              <w:rPr>
                <w:b/>
                <w:szCs w:val="22"/>
              </w:rPr>
              <w:fldChar w:fldCharType="begin"/>
            </w:r>
            <w:r w:rsidRPr="00C20EEA">
              <w:rPr>
                <w:b/>
                <w:szCs w:val="22"/>
              </w:rPr>
              <w:instrText xml:space="preserve"> REF _Ref503879438 \r \h  \* MERGEFORMAT </w:instrText>
            </w:r>
            <w:r w:rsidRPr="00C20EEA">
              <w:rPr>
                <w:b/>
                <w:szCs w:val="22"/>
              </w:rPr>
            </w:r>
            <w:r w:rsidRPr="00C20EEA">
              <w:rPr>
                <w:b/>
                <w:szCs w:val="22"/>
              </w:rPr>
              <w:fldChar w:fldCharType="separate"/>
            </w:r>
            <w:r w:rsidR="00D31800">
              <w:rPr>
                <w:b/>
                <w:szCs w:val="22"/>
              </w:rPr>
              <w:t>D.32</w:t>
            </w:r>
            <w:r w:rsidRPr="00C20EEA">
              <w:rPr>
                <w:b/>
                <w:szCs w:val="22"/>
              </w:rPr>
              <w:fldChar w:fldCharType="end"/>
            </w:r>
          </w:p>
        </w:tc>
      </w:tr>
      <w:tr w:rsidR="003D0764" w:rsidRPr="00C16FF6" w14:paraId="244E53FB" w14:textId="77777777" w:rsidTr="00A916D5">
        <w:trPr>
          <w:jc w:val="center"/>
        </w:trPr>
        <w:tc>
          <w:tcPr>
            <w:tcW w:w="4320" w:type="dxa"/>
            <w:tcBorders>
              <w:left w:val="single" w:sz="12" w:space="0" w:color="auto"/>
              <w:right w:val="single" w:sz="12" w:space="0" w:color="auto"/>
            </w:tcBorders>
            <w:vAlign w:val="center"/>
          </w:tcPr>
          <w:p w14:paraId="4388ABAE" w14:textId="77777777" w:rsidR="003D0764" w:rsidRPr="00C20EEA" w:rsidRDefault="003D0764" w:rsidP="00A916D5">
            <w:pPr>
              <w:pStyle w:val="BodyText"/>
              <w:spacing w:before="20" w:after="20"/>
              <w:ind w:right="144"/>
              <w:jc w:val="center"/>
              <w:rPr>
                <w:szCs w:val="22"/>
              </w:rPr>
            </w:pPr>
            <w:r w:rsidRPr="00C20EEA">
              <w:rPr>
                <w:szCs w:val="22"/>
              </w:rPr>
              <w:t>Notice of Monthly Operations</w:t>
            </w:r>
          </w:p>
        </w:tc>
        <w:tc>
          <w:tcPr>
            <w:tcW w:w="2655" w:type="dxa"/>
            <w:tcBorders>
              <w:left w:val="single" w:sz="12" w:space="0" w:color="auto"/>
              <w:right w:val="single" w:sz="12" w:space="0" w:color="auto"/>
            </w:tcBorders>
            <w:vAlign w:val="center"/>
          </w:tcPr>
          <w:p w14:paraId="6D2EFE69" w14:textId="77777777" w:rsidR="003D0764" w:rsidRPr="00C20EEA" w:rsidRDefault="003D0764" w:rsidP="00A916D5">
            <w:pPr>
              <w:suppressAutoHyphens/>
              <w:spacing w:before="20" w:after="20"/>
              <w:ind w:right="144"/>
              <w:jc w:val="center"/>
              <w:rPr>
                <w:szCs w:val="22"/>
              </w:rPr>
            </w:pPr>
            <w:r w:rsidRPr="00C20EEA">
              <w:rPr>
                <w:szCs w:val="22"/>
              </w:rPr>
              <w:t>Monthly.</w:t>
            </w:r>
          </w:p>
        </w:tc>
        <w:tc>
          <w:tcPr>
            <w:tcW w:w="2430" w:type="dxa"/>
            <w:tcBorders>
              <w:left w:val="single" w:sz="12" w:space="0" w:color="auto"/>
              <w:right w:val="single" w:sz="12" w:space="0" w:color="auto"/>
            </w:tcBorders>
            <w:vAlign w:val="center"/>
          </w:tcPr>
          <w:p w14:paraId="3EE2F7EF" w14:textId="00618451" w:rsidR="003D0764" w:rsidRPr="00C20EEA" w:rsidRDefault="003D0764" w:rsidP="00A916D5">
            <w:pPr>
              <w:pStyle w:val="BodyText"/>
              <w:spacing w:before="20" w:after="20"/>
              <w:ind w:right="144"/>
              <w:jc w:val="center"/>
              <w:rPr>
                <w:b/>
                <w:szCs w:val="22"/>
              </w:rPr>
            </w:pPr>
            <w:r w:rsidRPr="00C20EEA">
              <w:rPr>
                <w:b/>
                <w:szCs w:val="22"/>
              </w:rPr>
              <w:fldChar w:fldCharType="begin"/>
            </w:r>
            <w:r w:rsidRPr="00C20EEA">
              <w:rPr>
                <w:b/>
                <w:szCs w:val="22"/>
              </w:rPr>
              <w:instrText xml:space="preserve"> REF _Ref503879546 \r \h  \* MERGEFORMAT </w:instrText>
            </w:r>
            <w:r w:rsidRPr="00C20EEA">
              <w:rPr>
                <w:b/>
                <w:szCs w:val="22"/>
              </w:rPr>
            </w:r>
            <w:r w:rsidRPr="00C20EEA">
              <w:rPr>
                <w:b/>
                <w:szCs w:val="22"/>
              </w:rPr>
              <w:fldChar w:fldCharType="separate"/>
            </w:r>
            <w:r w:rsidR="00D31800">
              <w:rPr>
                <w:b/>
                <w:szCs w:val="22"/>
              </w:rPr>
              <w:t>D.33</w:t>
            </w:r>
            <w:r w:rsidRPr="00C20EEA">
              <w:rPr>
                <w:b/>
                <w:szCs w:val="22"/>
              </w:rPr>
              <w:fldChar w:fldCharType="end"/>
            </w:r>
          </w:p>
        </w:tc>
      </w:tr>
      <w:tr w:rsidR="003D0764" w:rsidRPr="00C16FF6" w14:paraId="2D390947" w14:textId="77777777" w:rsidTr="00A916D5">
        <w:trPr>
          <w:jc w:val="center"/>
        </w:trPr>
        <w:tc>
          <w:tcPr>
            <w:tcW w:w="4320" w:type="dxa"/>
            <w:tcBorders>
              <w:left w:val="single" w:sz="12" w:space="0" w:color="auto"/>
              <w:right w:val="single" w:sz="12" w:space="0" w:color="auto"/>
            </w:tcBorders>
            <w:vAlign w:val="center"/>
          </w:tcPr>
          <w:p w14:paraId="6BF89AF3" w14:textId="77777777" w:rsidR="003D0764" w:rsidRPr="00C20EEA" w:rsidRDefault="003D0764" w:rsidP="00A916D5">
            <w:pPr>
              <w:pStyle w:val="BodyText"/>
              <w:spacing w:before="20" w:after="20"/>
              <w:ind w:right="144"/>
              <w:jc w:val="center"/>
              <w:rPr>
                <w:szCs w:val="22"/>
              </w:rPr>
            </w:pPr>
            <w:r w:rsidRPr="00C20EEA">
              <w:rPr>
                <w:szCs w:val="22"/>
              </w:rPr>
              <w:t>NSPS Excess Emissions Report</w:t>
            </w:r>
          </w:p>
        </w:tc>
        <w:tc>
          <w:tcPr>
            <w:tcW w:w="2655" w:type="dxa"/>
            <w:tcBorders>
              <w:left w:val="single" w:sz="12" w:space="0" w:color="auto"/>
              <w:right w:val="single" w:sz="12" w:space="0" w:color="auto"/>
            </w:tcBorders>
            <w:vAlign w:val="center"/>
          </w:tcPr>
          <w:p w14:paraId="3B5D4328" w14:textId="77777777" w:rsidR="003D0764" w:rsidRPr="00C20EEA" w:rsidRDefault="003D0764" w:rsidP="00A916D5">
            <w:pPr>
              <w:suppressAutoHyphens/>
              <w:spacing w:before="20" w:after="20"/>
              <w:ind w:right="144"/>
              <w:jc w:val="center"/>
              <w:rPr>
                <w:szCs w:val="22"/>
              </w:rPr>
            </w:pPr>
            <w:r w:rsidRPr="00C20EEA">
              <w:rPr>
                <w:szCs w:val="22"/>
              </w:rPr>
              <w:t>Semiannual.</w:t>
            </w:r>
          </w:p>
        </w:tc>
        <w:tc>
          <w:tcPr>
            <w:tcW w:w="2430" w:type="dxa"/>
            <w:tcBorders>
              <w:left w:val="single" w:sz="12" w:space="0" w:color="auto"/>
              <w:right w:val="single" w:sz="12" w:space="0" w:color="auto"/>
            </w:tcBorders>
            <w:vAlign w:val="center"/>
          </w:tcPr>
          <w:p w14:paraId="03E61826" w14:textId="6A5CAD52" w:rsidR="003D0764" w:rsidRPr="00C20EEA" w:rsidRDefault="003038AD" w:rsidP="00A916D5">
            <w:pPr>
              <w:pStyle w:val="BodyText"/>
              <w:spacing w:before="20" w:after="20"/>
              <w:ind w:right="144"/>
              <w:jc w:val="center"/>
              <w:rPr>
                <w:b/>
                <w:szCs w:val="22"/>
              </w:rPr>
            </w:pPr>
            <w:r w:rsidRPr="00C20EEA">
              <w:rPr>
                <w:b/>
                <w:szCs w:val="22"/>
              </w:rPr>
              <w:fldChar w:fldCharType="begin"/>
            </w:r>
            <w:r w:rsidRPr="00C20EEA">
              <w:rPr>
                <w:b/>
                <w:szCs w:val="22"/>
              </w:rPr>
              <w:instrText xml:space="preserve"> REF _Ref520471618 \r \h  \* MERGEFORMAT </w:instrText>
            </w:r>
            <w:r w:rsidRPr="00C20EEA">
              <w:rPr>
                <w:b/>
                <w:szCs w:val="22"/>
              </w:rPr>
            </w:r>
            <w:r w:rsidRPr="00C20EEA">
              <w:rPr>
                <w:b/>
                <w:szCs w:val="22"/>
              </w:rPr>
              <w:fldChar w:fldCharType="separate"/>
            </w:r>
            <w:r w:rsidR="00D31800">
              <w:rPr>
                <w:b/>
                <w:szCs w:val="22"/>
              </w:rPr>
              <w:t>D.36</w:t>
            </w:r>
            <w:r w:rsidRPr="00C20EEA">
              <w:rPr>
                <w:b/>
                <w:szCs w:val="22"/>
              </w:rPr>
              <w:fldChar w:fldCharType="end"/>
            </w:r>
          </w:p>
        </w:tc>
      </w:tr>
      <w:tr w:rsidR="003D0764" w:rsidRPr="00C16FF6" w14:paraId="29FC9D58" w14:textId="77777777" w:rsidTr="00A916D5">
        <w:trPr>
          <w:jc w:val="center"/>
        </w:trPr>
        <w:tc>
          <w:tcPr>
            <w:tcW w:w="4320" w:type="dxa"/>
            <w:tcBorders>
              <w:left w:val="single" w:sz="12" w:space="0" w:color="auto"/>
              <w:bottom w:val="single" w:sz="12" w:space="0" w:color="auto"/>
              <w:right w:val="single" w:sz="12" w:space="0" w:color="auto"/>
            </w:tcBorders>
            <w:vAlign w:val="center"/>
          </w:tcPr>
          <w:p w14:paraId="0025A75D" w14:textId="24438A51" w:rsidR="003D0764" w:rsidRPr="00C20EEA" w:rsidRDefault="00B87677" w:rsidP="00A916D5">
            <w:pPr>
              <w:pStyle w:val="BodyText"/>
              <w:spacing w:before="20" w:after="20"/>
              <w:ind w:right="144"/>
              <w:jc w:val="center"/>
              <w:rPr>
                <w:szCs w:val="22"/>
              </w:rPr>
            </w:pPr>
            <w:r w:rsidRPr="00C20EEA">
              <w:rPr>
                <w:szCs w:val="22"/>
              </w:rPr>
              <w:t xml:space="preserve">Semiannual </w:t>
            </w:r>
            <w:r w:rsidR="003D0764" w:rsidRPr="00C20EEA">
              <w:rPr>
                <w:szCs w:val="22"/>
              </w:rPr>
              <w:t>Permit Excess Emission Report</w:t>
            </w:r>
          </w:p>
        </w:tc>
        <w:tc>
          <w:tcPr>
            <w:tcW w:w="2655" w:type="dxa"/>
            <w:tcBorders>
              <w:left w:val="single" w:sz="12" w:space="0" w:color="auto"/>
              <w:bottom w:val="single" w:sz="12" w:space="0" w:color="auto"/>
              <w:right w:val="single" w:sz="12" w:space="0" w:color="auto"/>
            </w:tcBorders>
            <w:vAlign w:val="center"/>
          </w:tcPr>
          <w:p w14:paraId="3F924199" w14:textId="4E1E118D" w:rsidR="003D0764" w:rsidRPr="00C20EEA" w:rsidRDefault="007C27DD" w:rsidP="00A916D5">
            <w:pPr>
              <w:suppressAutoHyphens/>
              <w:spacing w:before="20" w:after="20"/>
              <w:ind w:right="144"/>
              <w:jc w:val="center"/>
              <w:rPr>
                <w:szCs w:val="22"/>
              </w:rPr>
            </w:pPr>
            <w:r w:rsidRPr="00C20EEA">
              <w:rPr>
                <w:szCs w:val="22"/>
              </w:rPr>
              <w:t>Semiannual</w:t>
            </w:r>
            <w:r w:rsidR="003D0764" w:rsidRPr="00C20EEA">
              <w:rPr>
                <w:szCs w:val="22"/>
              </w:rPr>
              <w:t>.</w:t>
            </w:r>
          </w:p>
        </w:tc>
        <w:tc>
          <w:tcPr>
            <w:tcW w:w="2430" w:type="dxa"/>
            <w:tcBorders>
              <w:left w:val="single" w:sz="12" w:space="0" w:color="auto"/>
              <w:bottom w:val="single" w:sz="12" w:space="0" w:color="auto"/>
              <w:right w:val="single" w:sz="12" w:space="0" w:color="auto"/>
            </w:tcBorders>
            <w:vAlign w:val="center"/>
          </w:tcPr>
          <w:p w14:paraId="68EB67DE" w14:textId="34A9E7F9" w:rsidR="003D0764" w:rsidRPr="00C20EEA" w:rsidRDefault="00B741F2" w:rsidP="00A916D5">
            <w:pPr>
              <w:pStyle w:val="BodyText"/>
              <w:spacing w:before="20" w:after="20"/>
              <w:ind w:right="144"/>
              <w:jc w:val="center"/>
              <w:rPr>
                <w:b/>
                <w:strike/>
                <w:szCs w:val="22"/>
              </w:rPr>
            </w:pPr>
            <w:r w:rsidRPr="00C20EEA">
              <w:rPr>
                <w:b/>
                <w:szCs w:val="22"/>
              </w:rPr>
              <w:fldChar w:fldCharType="begin"/>
            </w:r>
            <w:r w:rsidRPr="00C20EEA">
              <w:rPr>
                <w:b/>
                <w:szCs w:val="22"/>
              </w:rPr>
              <w:instrText xml:space="preserve"> REF _Ref524354381 \r \h  \* MERGEFORMAT </w:instrText>
            </w:r>
            <w:r w:rsidRPr="00C20EEA">
              <w:rPr>
                <w:b/>
                <w:szCs w:val="22"/>
              </w:rPr>
            </w:r>
            <w:r w:rsidRPr="00C20EEA">
              <w:rPr>
                <w:b/>
                <w:szCs w:val="22"/>
              </w:rPr>
              <w:fldChar w:fldCharType="separate"/>
            </w:r>
            <w:r w:rsidR="00D31800">
              <w:rPr>
                <w:b/>
                <w:szCs w:val="22"/>
              </w:rPr>
              <w:t>D.37</w:t>
            </w:r>
            <w:r w:rsidRPr="00C20EEA">
              <w:rPr>
                <w:b/>
                <w:szCs w:val="22"/>
              </w:rPr>
              <w:fldChar w:fldCharType="end"/>
            </w:r>
          </w:p>
        </w:tc>
      </w:tr>
    </w:tbl>
    <w:p w14:paraId="5B2D0FCF" w14:textId="77777777" w:rsidR="003D0764" w:rsidRPr="00C16FF6" w:rsidRDefault="003D0764" w:rsidP="003D0764">
      <w:pPr>
        <w:tabs>
          <w:tab w:val="left" w:pos="0"/>
          <w:tab w:val="left" w:pos="360"/>
          <w:tab w:val="left" w:pos="720"/>
          <w:tab w:val="left" w:pos="1080"/>
          <w:tab w:val="left" w:pos="1260"/>
        </w:tabs>
        <w:spacing w:before="60" w:after="120"/>
      </w:pPr>
      <w:bookmarkStart w:id="222" w:name="_Hlk523323457"/>
      <w:bookmarkEnd w:id="221"/>
      <w:r w:rsidRPr="00C16FF6">
        <w:tab/>
        <w:t>[Rule 62-213.440(1)(b), F.A.C.]</w:t>
      </w:r>
    </w:p>
    <w:p w14:paraId="7A1CE775" w14:textId="3BF69B46" w:rsidR="003D0764" w:rsidRPr="003D0764" w:rsidRDefault="003D0764" w:rsidP="003D0764">
      <w:pPr>
        <w:numPr>
          <w:ilvl w:val="0"/>
          <w:numId w:val="22"/>
        </w:numPr>
        <w:spacing w:before="120" w:after="120"/>
        <w:ind w:left="360"/>
        <w:rPr>
          <w:rFonts w:eastAsia="Calibri"/>
          <w:szCs w:val="22"/>
          <w:u w:val="single"/>
        </w:rPr>
      </w:pPr>
      <w:bookmarkStart w:id="223" w:name="_Ref503879438"/>
      <w:bookmarkEnd w:id="220"/>
      <w:bookmarkEnd w:id="222"/>
      <w:r w:rsidRPr="00C16FF6">
        <w:rPr>
          <w:snapToGrid w:val="0"/>
          <w:szCs w:val="22"/>
          <w:u w:val="single"/>
        </w:rPr>
        <w:t>Monitoring of Capacity</w:t>
      </w:r>
      <w:r w:rsidRPr="00C16FF6">
        <w:rPr>
          <w:snapToGrid w:val="0"/>
          <w:szCs w:val="22"/>
        </w:rPr>
        <w:t xml:space="preserve">.  The permittee shall monitor and record the operating rate of each gas turbine and HRSG duct burner system on a daily average basis, considering the number of hours of operation during each day (including the times of startup, shutdown and malfunction).  Such monitoring shall be made using a monitoring component of the </w:t>
      </w:r>
      <w:r w:rsidRPr="00C16FF6">
        <w:rPr>
          <w:szCs w:val="22"/>
        </w:rPr>
        <w:t>CEM system required above, or by monitoring daily rates of consumption and heat content of each allowable fuel in accordance with the provisions of 40 CFR 75 Appendix D.  [Permit No. 0850001-010-</w:t>
      </w:r>
      <w:r w:rsidRPr="00C20EEA">
        <w:rPr>
          <w:szCs w:val="22"/>
        </w:rPr>
        <w:t>AC/</w:t>
      </w:r>
      <w:r w:rsidRPr="00C16FF6">
        <w:rPr>
          <w:szCs w:val="22"/>
        </w:rPr>
        <w:t>PSD-FL-327]</w:t>
      </w:r>
      <w:bookmarkEnd w:id="223"/>
    </w:p>
    <w:p w14:paraId="427B72E7" w14:textId="330BFC6E" w:rsidR="003D0764" w:rsidRPr="003D0764" w:rsidRDefault="003D0764" w:rsidP="003D0764">
      <w:pPr>
        <w:numPr>
          <w:ilvl w:val="0"/>
          <w:numId w:val="22"/>
        </w:numPr>
        <w:spacing w:before="120" w:after="120"/>
        <w:ind w:left="360"/>
        <w:rPr>
          <w:rFonts w:eastAsia="Calibri"/>
          <w:szCs w:val="22"/>
          <w:u w:val="single"/>
        </w:rPr>
      </w:pPr>
      <w:bookmarkStart w:id="224" w:name="_Ref503879546"/>
      <w:r w:rsidRPr="00C16FF6">
        <w:rPr>
          <w:szCs w:val="22"/>
          <w:u w:val="single"/>
        </w:rPr>
        <w:t>Monthly Operations Summary</w:t>
      </w:r>
      <w:r w:rsidRPr="00C16FF6">
        <w:rPr>
          <w:szCs w:val="22"/>
        </w:rPr>
        <w:t xml:space="preserve">.  By the fifth calendar day of each month, the permittee shall record the following for each fuel in a written or electronic log for each gas turbine for the previous month of operation: fuel consumption, hours of operation, hours of power augmentation, hours of peaking, hours of duct firing, and the updated 12-month rolling totals for each.  Information recorded and stored as an electronic file shall be available for inspection and printing within at least three days of a request by the Department.  The fuel consumption shall be monitored in accordance with the provisions of 40 CFR 75 Appendix D.  </w:t>
      </w:r>
      <w:bookmarkEnd w:id="224"/>
      <w:r w:rsidRPr="00C16FF6">
        <w:rPr>
          <w:szCs w:val="22"/>
        </w:rPr>
        <w:t>[Permit No. 0850001-010-</w:t>
      </w:r>
      <w:r w:rsidRPr="00C20EEA">
        <w:rPr>
          <w:szCs w:val="22"/>
        </w:rPr>
        <w:t>AC/PSD-</w:t>
      </w:r>
      <w:r w:rsidRPr="00C16FF6">
        <w:rPr>
          <w:szCs w:val="22"/>
        </w:rPr>
        <w:t>FL-327]</w:t>
      </w:r>
    </w:p>
    <w:p w14:paraId="0F1274D6" w14:textId="77777777" w:rsidR="003D0764" w:rsidRPr="00C16FF6" w:rsidRDefault="003D0764" w:rsidP="003D0764">
      <w:pPr>
        <w:numPr>
          <w:ilvl w:val="0"/>
          <w:numId w:val="22"/>
        </w:numPr>
        <w:spacing w:before="120"/>
        <w:ind w:left="360"/>
        <w:rPr>
          <w:szCs w:val="22"/>
        </w:rPr>
      </w:pPr>
      <w:bookmarkStart w:id="225" w:name="_Ref504134046"/>
      <w:r w:rsidRPr="00C16FF6">
        <w:rPr>
          <w:szCs w:val="22"/>
          <w:u w:val="single"/>
        </w:rPr>
        <w:t>Fuel Sulfur Records</w:t>
      </w:r>
      <w:r w:rsidRPr="00C16FF6">
        <w:rPr>
          <w:szCs w:val="22"/>
        </w:rPr>
        <w:t>.  The permittee shall demonstrate compliance with the fuel sulfur limits specified in this permit by maintaining the following records of the sulfur contents.</w:t>
      </w:r>
      <w:bookmarkStart w:id="226" w:name="FuelSulfurRecords"/>
      <w:bookmarkEnd w:id="225"/>
      <w:bookmarkEnd w:id="226"/>
    </w:p>
    <w:p w14:paraId="5218E027" w14:textId="77777777" w:rsidR="003D0764" w:rsidRPr="00C16FF6" w:rsidRDefault="003D0764" w:rsidP="00114020">
      <w:pPr>
        <w:numPr>
          <w:ilvl w:val="0"/>
          <w:numId w:val="106"/>
        </w:numPr>
        <w:tabs>
          <w:tab w:val="clear" w:pos="720"/>
        </w:tabs>
        <w:ind w:left="720" w:hanging="360"/>
        <w:rPr>
          <w:szCs w:val="22"/>
        </w:rPr>
      </w:pPr>
      <w:r w:rsidRPr="00C16FF6">
        <w:rPr>
          <w:szCs w:val="22"/>
        </w:rPr>
        <w:t>Compliance with the fuel sulfur limit for natural gas shall be demonstrated by keeping reports obtained from the vendor indicating the average sulfur content of the natural gas being supplied from the pipeline for each month of operation.  Methods for determining the sulfur content of the natural gas shall be ASTM methods D4084-82, D3246-81 or more recent versions.</w:t>
      </w:r>
    </w:p>
    <w:p w14:paraId="1F5C0AAB" w14:textId="77777777" w:rsidR="003D0764" w:rsidRPr="00C16FF6" w:rsidRDefault="003D0764" w:rsidP="00114020">
      <w:pPr>
        <w:numPr>
          <w:ilvl w:val="0"/>
          <w:numId w:val="106"/>
        </w:numPr>
        <w:tabs>
          <w:tab w:val="clear" w:pos="720"/>
        </w:tabs>
        <w:ind w:left="720" w:hanging="360"/>
        <w:rPr>
          <w:szCs w:val="22"/>
        </w:rPr>
      </w:pPr>
      <w:r w:rsidRPr="00C16FF6">
        <w:rPr>
          <w:szCs w:val="22"/>
        </w:rPr>
        <w:t>Compliance with the distillate oil sulfur limit shall be demonstrated by taking a sample, analyzing the sample for fuel sulfur, and reporting the results to each Compliance Authority before initial startup.  Sampling the fuel oil sulfur content shall be conducted in accordance with ASTM D4057-88, Standard Practice for Manual Sampling of Petroleum and Petroleum Products, and one of the following test methods for sulfur in petroleum products:  ASTM D129-91, ASTM D1552-90, ASTM D2622-94, or ASTM D4294-90.  More recent versions of these methods may be used.  For each subsequent fuel delivery, the permittee shall maintain a permanent file of the certified fuel sulfur analysis from the fuel vendor.  At the request of a Compliance Authority, the permittee shall perform additional sampling and analysis for the fuel sulfur content.</w:t>
      </w:r>
    </w:p>
    <w:p w14:paraId="2911F513" w14:textId="3F4859C5" w:rsidR="003D0764" w:rsidRDefault="003D0764" w:rsidP="007C27DD">
      <w:pPr>
        <w:spacing w:after="120"/>
        <w:ind w:left="360"/>
        <w:rPr>
          <w:szCs w:val="22"/>
        </w:rPr>
      </w:pPr>
      <w:r w:rsidRPr="00C16FF6">
        <w:rPr>
          <w:szCs w:val="22"/>
        </w:rPr>
        <w:t>The above methods shall be used to determine the fuel sulfur content in conjunction with the provisions of 40 CFR 75 Appendix D.  [Permit No. 0850001-010-</w:t>
      </w:r>
      <w:r w:rsidRPr="00C20EEA">
        <w:rPr>
          <w:szCs w:val="22"/>
        </w:rPr>
        <w:t>AC/PSD</w:t>
      </w:r>
      <w:r w:rsidRPr="00C16FF6">
        <w:rPr>
          <w:szCs w:val="22"/>
        </w:rPr>
        <w:t>-FL-327]</w:t>
      </w:r>
    </w:p>
    <w:p w14:paraId="70709726" w14:textId="7126043D" w:rsidR="003D0764" w:rsidRDefault="003D0764" w:rsidP="003D0764">
      <w:pPr>
        <w:spacing w:before="120" w:after="120"/>
        <w:ind w:left="360"/>
        <w:rPr>
          <w:i/>
          <w:szCs w:val="22"/>
        </w:rPr>
      </w:pPr>
      <w:bookmarkStart w:id="227" w:name="_Hlk504138289"/>
      <w:r w:rsidRPr="00856C8E">
        <w:rPr>
          <w:i/>
          <w:szCs w:val="22"/>
        </w:rPr>
        <w:t>{Permitting Note:  Pursuant to 40 CFR 60.4365, the permittee may elect not to monitor the total sulfur content of the fuel for the purposes of demonstrating compliance with NSPS Subpart KKKK if these records are current, valid purchase contracts, tariff sheets or transportation contracts that specify that the total sulfur content is equal to or less than 20 grains per 100 standard cubic feet for natural gas and 0.05 weight percent for oil.}</w:t>
      </w:r>
      <w:bookmarkEnd w:id="227"/>
    </w:p>
    <w:p w14:paraId="5A7D7D59" w14:textId="41046F26" w:rsidR="007C27DD" w:rsidRPr="007C27DD" w:rsidRDefault="007C27DD" w:rsidP="007C27DD">
      <w:pPr>
        <w:numPr>
          <w:ilvl w:val="0"/>
          <w:numId w:val="22"/>
        </w:numPr>
        <w:spacing w:before="120"/>
        <w:ind w:left="360"/>
        <w:rPr>
          <w:rFonts w:eastAsia="Calibri"/>
          <w:szCs w:val="22"/>
          <w:u w:val="single"/>
        </w:rPr>
      </w:pPr>
      <w:r w:rsidRPr="00C16FF6">
        <w:rPr>
          <w:szCs w:val="22"/>
          <w:u w:val="single"/>
        </w:rPr>
        <w:t>Malfunction Notification</w:t>
      </w:r>
      <w:r w:rsidRPr="00C16FF6">
        <w:rPr>
          <w:szCs w:val="22"/>
        </w:rPr>
        <w:t>.  Within one working day of a malfunction that causes emissions in excess of a standard (subject to the specified averaging periods), the permittee shall notify the Compliance Authority.  The notification shall include a preliminary report of: the nature, extent, and duration of the emissions; the probable cause of the emissions; and the actions taken to correct the problem.  If requested by the Compliance Authority, the permittee shall submit written quarterly reports summarizing the malfunctions.  [Permit No. 0850001-010-AC</w:t>
      </w:r>
      <w:r w:rsidRPr="00C20EEA">
        <w:rPr>
          <w:szCs w:val="22"/>
        </w:rPr>
        <w:t>/</w:t>
      </w:r>
      <w:r w:rsidRPr="00C16FF6">
        <w:rPr>
          <w:szCs w:val="22"/>
        </w:rPr>
        <w:t>PSD-FL-327]</w:t>
      </w:r>
    </w:p>
    <w:p w14:paraId="7A046CAC" w14:textId="6228D0B5" w:rsidR="007E2D4F" w:rsidRPr="001E7456" w:rsidRDefault="007E2D4F" w:rsidP="007E2D4F">
      <w:pPr>
        <w:numPr>
          <w:ilvl w:val="0"/>
          <w:numId w:val="22"/>
        </w:numPr>
        <w:spacing w:before="120" w:after="120"/>
        <w:ind w:left="360"/>
        <w:rPr>
          <w:szCs w:val="22"/>
        </w:rPr>
      </w:pPr>
      <w:bookmarkStart w:id="228" w:name="_Ref520471618"/>
      <w:bookmarkStart w:id="229" w:name="_Ref503879814"/>
      <w:bookmarkStart w:id="230" w:name="_Hlk520472807"/>
      <w:r w:rsidRPr="00C16FF6">
        <w:rPr>
          <w:szCs w:val="22"/>
          <w:u w:val="single"/>
        </w:rPr>
        <w:t>Semiannual NSPS Excess Emissions Report</w:t>
      </w:r>
      <w:r w:rsidRPr="00C16FF6">
        <w:rPr>
          <w:szCs w:val="22"/>
        </w:rPr>
        <w:t>.</w:t>
      </w:r>
      <w:r>
        <w:rPr>
          <w:szCs w:val="22"/>
        </w:rPr>
        <w:t xml:space="preserve">  </w:t>
      </w:r>
      <w:r w:rsidRPr="00856C8E">
        <w:rPr>
          <w:szCs w:val="22"/>
        </w:rPr>
        <w:t xml:space="preserve">The permittee must submit reports of excess emissions and monitor downtime, in accordance with 40 CFR 60.7(c) (see Appendix NSPS Subpart A).  Excess emissions must be reported for all periods of unit operation, including startup, shutdown and malfunction.  All reports must be postmarked by </w:t>
      </w:r>
      <w:r w:rsidRPr="00C20EEA">
        <w:rPr>
          <w:szCs w:val="22"/>
        </w:rPr>
        <w:t>the 60</w:t>
      </w:r>
      <w:r w:rsidRPr="00C20EEA">
        <w:rPr>
          <w:szCs w:val="22"/>
          <w:vertAlign w:val="superscript"/>
        </w:rPr>
        <w:t>th</w:t>
      </w:r>
      <w:r w:rsidRPr="00C20EEA">
        <w:rPr>
          <w:szCs w:val="22"/>
        </w:rPr>
        <w:t xml:space="preserve"> day following the end of each 6-month period.  [Rule 62-204.800(8)(b)83., F.A.C.; and, 40 CFR 60.19(c),</w:t>
      </w:r>
      <w:r w:rsidRPr="00856C8E">
        <w:rPr>
          <w:szCs w:val="22"/>
        </w:rPr>
        <w:t xml:space="preserve"> 60.4375 &amp; 60.4395]</w:t>
      </w:r>
      <w:bookmarkEnd w:id="228"/>
    </w:p>
    <w:p w14:paraId="5E007911" w14:textId="54780BCC" w:rsidR="007C27DD" w:rsidRPr="00C20EEA" w:rsidRDefault="007C27DD" w:rsidP="007C27DD">
      <w:pPr>
        <w:numPr>
          <w:ilvl w:val="0"/>
          <w:numId w:val="22"/>
        </w:numPr>
        <w:spacing w:before="120"/>
        <w:ind w:left="360"/>
        <w:rPr>
          <w:rFonts w:eastAsia="Calibri"/>
          <w:szCs w:val="22"/>
        </w:rPr>
      </w:pPr>
      <w:bookmarkStart w:id="231" w:name="_Ref524354381"/>
      <w:r w:rsidRPr="00C20EEA">
        <w:rPr>
          <w:szCs w:val="22"/>
          <w:u w:val="single"/>
        </w:rPr>
        <w:t>Semiannual Permit Excess Emission Report</w:t>
      </w:r>
      <w:r w:rsidRPr="00C20EEA">
        <w:rPr>
          <w:szCs w:val="22"/>
        </w:rPr>
        <w:t xml:space="preserve">:  Within </w:t>
      </w:r>
      <w:r w:rsidR="00D001C8" w:rsidRPr="00C20EEA">
        <w:rPr>
          <w:szCs w:val="22"/>
        </w:rPr>
        <w:t xml:space="preserve">60 </w:t>
      </w:r>
      <w:r w:rsidRPr="00C20EEA">
        <w:rPr>
          <w:szCs w:val="22"/>
        </w:rPr>
        <w:t xml:space="preserve">days following the end of each 6-month period in a calendar year, the permittee shall submit a report to the Compliance Authority summarizing periods of excess CO (if the option to use a CO CEMS is chosen) and NOx emissions.  Such information shall also be summarized for combined cycle startups, combined cycle shutdowns, malfunctions and major tuning sessions.  In addition, the report shall summarize the CEMS systems monitor availability for the previous </w:t>
      </w:r>
      <w:r w:rsidR="00F4505C" w:rsidRPr="00C20EEA">
        <w:rPr>
          <w:szCs w:val="22"/>
        </w:rPr>
        <w:t>6-month period</w:t>
      </w:r>
      <w:r w:rsidRPr="00C20EEA">
        <w:rPr>
          <w:szCs w:val="22"/>
        </w:rPr>
        <w:t>.  [Rules 62-4.130, 62-204.800, 62-210.700(6), F.A.C.; 40 CFR 60.7; and, Permit No. 0850001-010-AC/PSD-FL-327</w:t>
      </w:r>
      <w:bookmarkEnd w:id="229"/>
      <w:r w:rsidRPr="00C20EEA">
        <w:rPr>
          <w:szCs w:val="22"/>
        </w:rPr>
        <w:t xml:space="preserve"> &amp; 0850001-041-AC/PSD-FL-146J &amp; 327G]</w:t>
      </w:r>
      <w:bookmarkEnd w:id="231"/>
    </w:p>
    <w:p w14:paraId="5B30CF29" w14:textId="77777777" w:rsidR="007C27DD" w:rsidRPr="007C27DD" w:rsidRDefault="007C27DD" w:rsidP="007C27DD">
      <w:pPr>
        <w:numPr>
          <w:ilvl w:val="0"/>
          <w:numId w:val="22"/>
        </w:numPr>
        <w:spacing w:before="120"/>
        <w:ind w:left="360"/>
        <w:rPr>
          <w:szCs w:val="22"/>
        </w:rPr>
      </w:pPr>
      <w:bookmarkStart w:id="232" w:name="_Hlk504139447"/>
      <w:bookmarkEnd w:id="230"/>
      <w:r w:rsidRPr="007C27DD">
        <w:rPr>
          <w:szCs w:val="22"/>
          <w:u w:val="single"/>
        </w:rPr>
        <w:t>Actual Emissions Reporting (Permit No. 0850001-038-AC)</w:t>
      </w:r>
      <w:r w:rsidRPr="007C27DD">
        <w:rPr>
          <w:szCs w:val="22"/>
        </w:rPr>
        <w:t>.  Permit No. 0850001-038-AC is based on an analysis that compared baseline actual emissions with projected actual emissions and avoided the requirements of subsection 62-212.400(4) through (12), F.A.C. for several pollutants.  Therefore, pursuant to Rule 62-212.300(1)(e), F.A.C., the permittee is subject to the following monitoring, reporting and recordkeeping provisions:</w:t>
      </w:r>
    </w:p>
    <w:p w14:paraId="7A8835B4" w14:textId="77777777" w:rsidR="007C27DD" w:rsidRPr="007C27DD" w:rsidRDefault="007C27DD" w:rsidP="00114020">
      <w:pPr>
        <w:numPr>
          <w:ilvl w:val="0"/>
          <w:numId w:val="107"/>
        </w:numPr>
        <w:spacing w:line="276" w:lineRule="auto"/>
        <w:ind w:left="720"/>
        <w:contextualSpacing/>
        <w:rPr>
          <w:rFonts w:eastAsia="Calibri"/>
          <w:szCs w:val="22"/>
        </w:rPr>
      </w:pPr>
      <w:r w:rsidRPr="007C27DD">
        <w:rPr>
          <w:rFonts w:eastAsia="Calibri"/>
          <w:szCs w:val="22"/>
        </w:rPr>
        <w:t xml:space="preserve">The permittee shall monitor the emissions of any PSD pollutant that the Department identifies could increase as a result of the construction or modification and that is emitted by any emissions unit that could be affected; and, using the most reliable information available, calculate and maintain a record of the annual emissions, in tons per year on a calendar year basis, for a period of </w:t>
      </w:r>
      <w:r w:rsidRPr="007C27DD">
        <w:rPr>
          <w:rFonts w:eastAsia="Calibri"/>
          <w:b/>
          <w:bCs/>
          <w:szCs w:val="22"/>
        </w:rPr>
        <w:t xml:space="preserve">10 </w:t>
      </w:r>
      <w:r w:rsidRPr="007C27DD">
        <w:rPr>
          <w:rFonts w:eastAsia="Calibri"/>
          <w:szCs w:val="22"/>
        </w:rPr>
        <w:t xml:space="preserve">years following resumption of regular operations after the change.  Emissions shall be computed in accordance with the provisions in Rule 62-210.370, F.A.C. </w:t>
      </w:r>
    </w:p>
    <w:p w14:paraId="5681241D" w14:textId="77777777" w:rsidR="007C27DD" w:rsidRPr="007C27DD" w:rsidRDefault="007C27DD" w:rsidP="00114020">
      <w:pPr>
        <w:numPr>
          <w:ilvl w:val="0"/>
          <w:numId w:val="107"/>
        </w:numPr>
        <w:spacing w:after="120" w:line="276" w:lineRule="auto"/>
        <w:ind w:left="720"/>
        <w:contextualSpacing/>
        <w:rPr>
          <w:rFonts w:eastAsia="Calibri"/>
          <w:szCs w:val="22"/>
        </w:rPr>
      </w:pPr>
      <w:r w:rsidRPr="007C27DD">
        <w:rPr>
          <w:rFonts w:eastAsia="Calibri"/>
          <w:szCs w:val="22"/>
        </w:rPr>
        <w:t xml:space="preserve">The permittee shall report to the Department within 60 days after the end of each calendar year during the </w:t>
      </w:r>
      <w:r w:rsidRPr="007C27DD">
        <w:rPr>
          <w:rFonts w:eastAsia="Calibri"/>
          <w:b/>
          <w:szCs w:val="22"/>
        </w:rPr>
        <w:t>10</w:t>
      </w:r>
      <w:r w:rsidRPr="007C27DD">
        <w:rPr>
          <w:rFonts w:eastAsia="Calibri"/>
          <w:szCs w:val="22"/>
        </w:rPr>
        <w:t>-year period setting out the unit’s annual emissions during the calendar year that preceded submission of the report.  That report shall contain the following:</w:t>
      </w:r>
    </w:p>
    <w:p w14:paraId="335351C4" w14:textId="77777777" w:rsidR="007C27DD" w:rsidRPr="007C27DD" w:rsidRDefault="007C27DD" w:rsidP="00114020">
      <w:pPr>
        <w:numPr>
          <w:ilvl w:val="0"/>
          <w:numId w:val="108"/>
        </w:numPr>
        <w:spacing w:after="120" w:line="276" w:lineRule="auto"/>
        <w:ind w:left="1080"/>
        <w:contextualSpacing/>
        <w:rPr>
          <w:rFonts w:eastAsia="Calibri"/>
          <w:szCs w:val="22"/>
        </w:rPr>
      </w:pPr>
      <w:r w:rsidRPr="007C27DD">
        <w:rPr>
          <w:rFonts w:eastAsia="Calibri"/>
          <w:szCs w:val="22"/>
        </w:rPr>
        <w:t>The name, address and telephone number of the owner or operator of the major stationary source;</w:t>
      </w:r>
    </w:p>
    <w:p w14:paraId="1E748EE4" w14:textId="77777777" w:rsidR="007C27DD" w:rsidRPr="007C27DD" w:rsidRDefault="007C27DD" w:rsidP="00114020">
      <w:pPr>
        <w:numPr>
          <w:ilvl w:val="0"/>
          <w:numId w:val="108"/>
        </w:numPr>
        <w:spacing w:after="120" w:line="276" w:lineRule="auto"/>
        <w:ind w:left="1080"/>
        <w:contextualSpacing/>
        <w:rPr>
          <w:rFonts w:eastAsia="Calibri"/>
          <w:szCs w:val="22"/>
        </w:rPr>
      </w:pPr>
      <w:r w:rsidRPr="007C27DD">
        <w:rPr>
          <w:rFonts w:eastAsia="Calibri"/>
          <w:szCs w:val="22"/>
        </w:rPr>
        <w:t>The annual emissions calculations pursuant to the provisions of 62-210.370, F.A.C., which are provided in Appendix C of this permit;</w:t>
      </w:r>
    </w:p>
    <w:p w14:paraId="789A8DA0" w14:textId="77777777" w:rsidR="007C27DD" w:rsidRPr="007C27DD" w:rsidRDefault="007C27DD" w:rsidP="00114020">
      <w:pPr>
        <w:numPr>
          <w:ilvl w:val="0"/>
          <w:numId w:val="108"/>
        </w:numPr>
        <w:spacing w:after="120" w:line="276" w:lineRule="auto"/>
        <w:ind w:left="1080"/>
        <w:contextualSpacing/>
        <w:rPr>
          <w:rFonts w:eastAsia="Calibri"/>
          <w:szCs w:val="22"/>
        </w:rPr>
      </w:pPr>
      <w:r w:rsidRPr="007C27DD">
        <w:rPr>
          <w:rFonts w:eastAsia="Calibri"/>
          <w:szCs w:val="22"/>
        </w:rPr>
        <w:t>If the emissions differ from the preconstruction projection, an explanation as to why there is a difference; and</w:t>
      </w:r>
    </w:p>
    <w:p w14:paraId="5C383A4B" w14:textId="77777777" w:rsidR="007C27DD" w:rsidRPr="007C27DD" w:rsidRDefault="007C27DD" w:rsidP="00114020">
      <w:pPr>
        <w:numPr>
          <w:ilvl w:val="0"/>
          <w:numId w:val="108"/>
        </w:numPr>
        <w:spacing w:after="120" w:line="276" w:lineRule="auto"/>
        <w:ind w:left="1080"/>
        <w:contextualSpacing/>
        <w:rPr>
          <w:rFonts w:eastAsia="Calibri"/>
          <w:szCs w:val="22"/>
        </w:rPr>
      </w:pPr>
      <w:r w:rsidRPr="007C27DD">
        <w:rPr>
          <w:rFonts w:eastAsia="Calibri"/>
          <w:szCs w:val="22"/>
        </w:rPr>
        <w:t>Any other information that the owner or operator wishes to include in the report.</w:t>
      </w:r>
    </w:p>
    <w:p w14:paraId="74214328" w14:textId="77777777" w:rsidR="007C27DD" w:rsidRPr="007C27DD" w:rsidRDefault="007C27DD" w:rsidP="00114020">
      <w:pPr>
        <w:numPr>
          <w:ilvl w:val="0"/>
          <w:numId w:val="107"/>
        </w:numPr>
        <w:spacing w:after="120" w:line="276" w:lineRule="auto"/>
        <w:ind w:left="720"/>
        <w:contextualSpacing/>
        <w:rPr>
          <w:rFonts w:eastAsia="Calibri"/>
          <w:szCs w:val="22"/>
        </w:rPr>
      </w:pPr>
      <w:r w:rsidRPr="007C27DD">
        <w:rPr>
          <w:rFonts w:eastAsia="Calibri"/>
          <w:szCs w:val="22"/>
        </w:rPr>
        <w:t>The information required to be documented and maintained pursuant to subparagraphs 62-212.300(1)(e)1 and 2, F.A.C., shall be submitted to the Department, which shall make it available for review to the general public.</w:t>
      </w:r>
    </w:p>
    <w:p w14:paraId="3B1A55A9" w14:textId="77777777" w:rsidR="007C27DD" w:rsidRPr="007C27DD" w:rsidRDefault="007C27DD" w:rsidP="00114020">
      <w:pPr>
        <w:numPr>
          <w:ilvl w:val="0"/>
          <w:numId w:val="107"/>
        </w:numPr>
        <w:spacing w:after="120" w:line="276" w:lineRule="auto"/>
        <w:ind w:left="720"/>
        <w:contextualSpacing/>
        <w:rPr>
          <w:rFonts w:eastAsia="Calibri"/>
          <w:szCs w:val="22"/>
        </w:rPr>
      </w:pPr>
      <w:r w:rsidRPr="007C27DD">
        <w:rPr>
          <w:rFonts w:eastAsia="Calibri"/>
          <w:szCs w:val="22"/>
        </w:rPr>
        <w:t>For this project, the permittee estimated the following baseline actual emissions:  205.24 tons/year of CO; 205.28 tons/year of NO</w:t>
      </w:r>
      <w:r w:rsidRPr="007C27DD">
        <w:rPr>
          <w:rFonts w:eastAsia="Calibri"/>
          <w:szCs w:val="22"/>
          <w:vertAlign w:val="subscript"/>
        </w:rPr>
        <w:t>X</w:t>
      </w:r>
      <w:r w:rsidRPr="007C27DD">
        <w:rPr>
          <w:rFonts w:eastAsia="Calibri"/>
          <w:szCs w:val="22"/>
        </w:rPr>
        <w:t>; 15.61 tons/year of SO</w:t>
      </w:r>
      <w:r w:rsidRPr="007C27DD">
        <w:rPr>
          <w:rFonts w:eastAsia="Calibri"/>
          <w:szCs w:val="22"/>
          <w:vertAlign w:val="subscript"/>
        </w:rPr>
        <w:t>2</w:t>
      </w:r>
      <w:r w:rsidRPr="007C27DD">
        <w:rPr>
          <w:rFonts w:eastAsia="Calibri"/>
          <w:szCs w:val="22"/>
        </w:rPr>
        <w:t>; 47.57 tons/year of VOC; 39.52 tons/year of PM/PM</w:t>
      </w:r>
      <w:r w:rsidRPr="007C27DD">
        <w:rPr>
          <w:rFonts w:eastAsia="Calibri"/>
          <w:szCs w:val="22"/>
          <w:vertAlign w:val="subscript"/>
        </w:rPr>
        <w:t>10</w:t>
      </w:r>
      <w:r w:rsidRPr="007C27DD">
        <w:rPr>
          <w:rFonts w:eastAsia="Calibri"/>
          <w:szCs w:val="22"/>
        </w:rPr>
        <w:t>/PM</w:t>
      </w:r>
      <w:r w:rsidRPr="007C27DD">
        <w:rPr>
          <w:rFonts w:eastAsia="Calibri"/>
          <w:szCs w:val="22"/>
          <w:vertAlign w:val="subscript"/>
        </w:rPr>
        <w:t>2.5</w:t>
      </w:r>
      <w:r w:rsidRPr="007C27DD">
        <w:rPr>
          <w:rFonts w:eastAsia="Calibri"/>
          <w:szCs w:val="22"/>
        </w:rPr>
        <w:t>; 2.39 tons/year of sulfuric acid mist (SAM); and 2,812,880 of GHG (CO</w:t>
      </w:r>
      <w:r w:rsidRPr="007C27DD">
        <w:rPr>
          <w:rFonts w:eastAsia="Calibri"/>
          <w:szCs w:val="22"/>
          <w:vertAlign w:val="subscript"/>
        </w:rPr>
        <w:t>2</w:t>
      </w:r>
      <w:r w:rsidRPr="007C27DD">
        <w:rPr>
          <w:rFonts w:eastAsia="Calibri"/>
          <w:szCs w:val="22"/>
        </w:rPr>
        <w:t>e).</w:t>
      </w:r>
    </w:p>
    <w:p w14:paraId="7C54FF3F" w14:textId="77777777" w:rsidR="007C27DD" w:rsidRPr="007C27DD" w:rsidRDefault="007C27DD" w:rsidP="00114020">
      <w:pPr>
        <w:numPr>
          <w:ilvl w:val="0"/>
          <w:numId w:val="107"/>
        </w:numPr>
        <w:spacing w:after="120" w:line="276" w:lineRule="auto"/>
        <w:ind w:left="720"/>
        <w:contextualSpacing/>
        <w:rPr>
          <w:rFonts w:eastAsia="Calibri"/>
          <w:szCs w:val="22"/>
        </w:rPr>
      </w:pPr>
      <w:r w:rsidRPr="007C27DD">
        <w:rPr>
          <w:rFonts w:eastAsia="Calibri"/>
          <w:szCs w:val="22"/>
        </w:rPr>
        <w:t>The Department has identified NO</w:t>
      </w:r>
      <w:r w:rsidRPr="007C27DD">
        <w:rPr>
          <w:rFonts w:eastAsia="Calibri"/>
          <w:szCs w:val="22"/>
          <w:vertAlign w:val="subscript"/>
        </w:rPr>
        <w:t>X</w:t>
      </w:r>
      <w:r w:rsidRPr="007C27DD">
        <w:rPr>
          <w:rFonts w:eastAsia="Calibri"/>
          <w:szCs w:val="22"/>
        </w:rPr>
        <w:t xml:space="preserve"> as the only PSD-pollutant that could reasonably increase as a result of this modification.  For the purpose of comparisons with baseline actual emissions, the permittee shall use the installed CEMS to determine and report the actual annual emissions of NO</w:t>
      </w:r>
      <w:r w:rsidRPr="007C27DD">
        <w:rPr>
          <w:rFonts w:eastAsia="Calibri"/>
          <w:szCs w:val="22"/>
          <w:vertAlign w:val="subscript"/>
        </w:rPr>
        <w:t>X</w:t>
      </w:r>
      <w:r w:rsidRPr="007C27DD">
        <w:rPr>
          <w:rFonts w:eastAsia="Calibri"/>
          <w:szCs w:val="22"/>
        </w:rPr>
        <w:t>.</w:t>
      </w:r>
    </w:p>
    <w:p w14:paraId="63D0FF55" w14:textId="1C6972D2" w:rsidR="007C27DD" w:rsidRPr="00C20EEA" w:rsidRDefault="007C27DD" w:rsidP="00114020">
      <w:pPr>
        <w:numPr>
          <w:ilvl w:val="0"/>
          <w:numId w:val="107"/>
        </w:numPr>
        <w:spacing w:after="120" w:line="276" w:lineRule="auto"/>
        <w:ind w:left="720"/>
        <w:contextualSpacing/>
        <w:rPr>
          <w:rFonts w:eastAsia="Calibri"/>
          <w:szCs w:val="22"/>
        </w:rPr>
      </w:pPr>
      <w:r w:rsidRPr="00C20EEA">
        <w:rPr>
          <w:rFonts w:eastAsia="Calibri"/>
          <w:szCs w:val="22"/>
        </w:rPr>
        <w:t xml:space="preserve">Heat input rates will vary depending upon gas turbine characteristics, ambient conditions, alternate methods of operation, and evaporative cooling.  The permittee shall provide manufacturer’s performance curves (or equations) that correct for site conditions to the Permitting and Compliance Authorities within </w:t>
      </w:r>
      <w:r w:rsidR="00A0708F" w:rsidRPr="00C20EEA">
        <w:rPr>
          <w:rFonts w:eastAsia="Calibri"/>
          <w:szCs w:val="22"/>
        </w:rPr>
        <w:t>7</w:t>
      </w:r>
      <w:r w:rsidRPr="00C20EEA">
        <w:rPr>
          <w:rFonts w:eastAsia="Calibri"/>
          <w:szCs w:val="22"/>
        </w:rPr>
        <w:t>5 days of completing the initial compliance testing.  Operating data may be adjusted for the appropriate site conditions in accordance with the performance curves and/or equations on file with the Department.  [Rule 62-210.200(PTE), F.A.C.]</w:t>
      </w:r>
    </w:p>
    <w:p w14:paraId="63E04C00" w14:textId="77777777" w:rsidR="007C27DD" w:rsidRPr="007C27DD" w:rsidRDefault="007C27DD" w:rsidP="007C27DD">
      <w:pPr>
        <w:spacing w:after="120" w:line="276" w:lineRule="auto"/>
        <w:ind w:left="360"/>
        <w:contextualSpacing/>
        <w:rPr>
          <w:rFonts w:eastAsia="Calibri"/>
          <w:i/>
          <w:szCs w:val="22"/>
        </w:rPr>
      </w:pPr>
      <w:r w:rsidRPr="007C27DD">
        <w:rPr>
          <w:rFonts w:eastAsia="Calibri"/>
          <w:i/>
          <w:szCs w:val="22"/>
        </w:rPr>
        <w:t>{Permitting Note:  Continuous compliance with the NO</w:t>
      </w:r>
      <w:r w:rsidRPr="007C27DD">
        <w:rPr>
          <w:rFonts w:eastAsia="Calibri"/>
          <w:i/>
          <w:szCs w:val="22"/>
          <w:vertAlign w:val="subscript"/>
        </w:rPr>
        <w:t>X</w:t>
      </w:r>
      <w:r w:rsidRPr="007C27DD">
        <w:rPr>
          <w:rFonts w:eastAsia="Calibri"/>
          <w:i/>
          <w:szCs w:val="22"/>
        </w:rPr>
        <w:t xml:space="preserve"> standard will be demonstrated by CEMS.  Other required stack tests may be conducted during the next scheduled period in accordance with existing permit conditions.}</w:t>
      </w:r>
    </w:p>
    <w:bookmarkEnd w:id="232"/>
    <w:p w14:paraId="2ED079F6" w14:textId="4E6CCA5E" w:rsidR="007C27DD" w:rsidRPr="00C20EEA" w:rsidRDefault="007C27DD" w:rsidP="007C27DD">
      <w:pPr>
        <w:spacing w:after="120" w:line="276" w:lineRule="auto"/>
        <w:ind w:left="360"/>
        <w:rPr>
          <w:rFonts w:eastAsia="Calibri"/>
          <w:szCs w:val="22"/>
        </w:rPr>
      </w:pPr>
      <w:r w:rsidRPr="00C20EEA">
        <w:rPr>
          <w:rFonts w:eastAsia="Calibri"/>
          <w:szCs w:val="22"/>
        </w:rPr>
        <w:t>[Rules 62-212.300(1)(e) &amp; 62-210.370, F.A.C.; and, Permit No</w:t>
      </w:r>
      <w:r w:rsidR="00A0708F" w:rsidRPr="00C20EEA">
        <w:rPr>
          <w:rFonts w:eastAsia="Calibri"/>
          <w:szCs w:val="22"/>
        </w:rPr>
        <w:t>s</w:t>
      </w:r>
      <w:r w:rsidRPr="00C20EEA">
        <w:rPr>
          <w:rFonts w:eastAsia="Calibri"/>
          <w:szCs w:val="22"/>
        </w:rPr>
        <w:t>. 0850001-038-AC</w:t>
      </w:r>
      <w:r w:rsidR="00A0708F" w:rsidRPr="00C20EEA">
        <w:rPr>
          <w:rFonts w:eastAsia="Calibri"/>
          <w:szCs w:val="22"/>
        </w:rPr>
        <w:t xml:space="preserve"> &amp; 0850001-041-AC/PSD-FL-146J &amp; 327G</w:t>
      </w:r>
      <w:r w:rsidRPr="00C20EEA">
        <w:rPr>
          <w:rFonts w:eastAsia="Calibri"/>
          <w:szCs w:val="22"/>
        </w:rPr>
        <w:t>]</w:t>
      </w:r>
    </w:p>
    <w:p w14:paraId="02661237" w14:textId="3ACE0AD1" w:rsidR="007C27DD" w:rsidRDefault="007C27DD" w:rsidP="007C27DD">
      <w:pPr>
        <w:spacing w:before="120"/>
        <w:ind w:left="360"/>
        <w:rPr>
          <w:i/>
        </w:rPr>
      </w:pPr>
      <w:r w:rsidRPr="007C27DD">
        <w:rPr>
          <w:i/>
        </w:rPr>
        <w:t>{Permitting Note:  Construction was completed near the end of the 2017 calendar year.  The reporting period for Unit 8 starts on the 2018 calendar year and ends on the 2027 calendar year.}</w:t>
      </w:r>
    </w:p>
    <w:p w14:paraId="0D81C946" w14:textId="01A8B0D3" w:rsidR="007C27DD" w:rsidRPr="007C27DD" w:rsidRDefault="007C27DD" w:rsidP="007C27DD">
      <w:pPr>
        <w:numPr>
          <w:ilvl w:val="0"/>
          <w:numId w:val="22"/>
        </w:numPr>
        <w:spacing w:before="120"/>
        <w:ind w:left="360"/>
        <w:rPr>
          <w:rFonts w:eastAsia="Calibri"/>
          <w:szCs w:val="22"/>
          <w:u w:val="single"/>
        </w:rPr>
      </w:pPr>
      <w:r w:rsidRPr="00C16FF6">
        <w:rPr>
          <w:szCs w:val="22"/>
          <w:u w:val="single"/>
        </w:rPr>
        <w:t>Other Reporting Requirements</w:t>
      </w:r>
      <w:r w:rsidRPr="00C16FF6">
        <w:rPr>
          <w:szCs w:val="22"/>
        </w:rPr>
        <w:t xml:space="preserve">.  See </w:t>
      </w:r>
      <w:r w:rsidRPr="00C16FF6">
        <w:rPr>
          <w:bCs/>
          <w:szCs w:val="22"/>
        </w:rPr>
        <w:t>Appendix RR, Facility-Wide Reporting Requirements</w:t>
      </w:r>
      <w:r w:rsidRPr="00C16FF6">
        <w:rPr>
          <w:szCs w:val="22"/>
        </w:rPr>
        <w:t>, for additional reporting requirements.</w:t>
      </w:r>
      <w:r>
        <w:rPr>
          <w:szCs w:val="22"/>
        </w:rPr>
        <w:t xml:space="preserve">  </w:t>
      </w:r>
      <w:r w:rsidRPr="00856C8E">
        <w:rPr>
          <w:szCs w:val="22"/>
        </w:rPr>
        <w:t>[Rule 62-213.440(1)(b), F.A.C.]</w:t>
      </w:r>
    </w:p>
    <w:p w14:paraId="3F9440DB" w14:textId="4F533121" w:rsidR="007C27DD" w:rsidRPr="007C27DD" w:rsidRDefault="007C27DD" w:rsidP="007C27DD">
      <w:pPr>
        <w:spacing w:before="120"/>
        <w:rPr>
          <w:rFonts w:eastAsia="Calibri"/>
          <w:szCs w:val="22"/>
        </w:rPr>
      </w:pPr>
      <w:r>
        <w:rPr>
          <w:rFonts w:eastAsia="Calibri"/>
          <w:b/>
          <w:szCs w:val="22"/>
          <w:u w:val="single"/>
        </w:rPr>
        <w:t>Other Requirements</w:t>
      </w:r>
    </w:p>
    <w:p w14:paraId="32690319" w14:textId="4BFE30A4" w:rsidR="007C27DD" w:rsidRPr="00C20EEA" w:rsidRDefault="007C27DD" w:rsidP="007C27DD">
      <w:pPr>
        <w:numPr>
          <w:ilvl w:val="0"/>
          <w:numId w:val="22"/>
        </w:numPr>
        <w:spacing w:before="120"/>
        <w:ind w:left="360"/>
        <w:rPr>
          <w:rFonts w:eastAsia="Calibri"/>
          <w:szCs w:val="22"/>
        </w:rPr>
      </w:pPr>
      <w:r w:rsidRPr="00856C8E">
        <w:rPr>
          <w:szCs w:val="22"/>
          <w:u w:val="single"/>
        </w:rPr>
        <w:t>NSPS Requirements</w:t>
      </w:r>
      <w:r w:rsidRPr="00856C8E">
        <w:rPr>
          <w:szCs w:val="22"/>
        </w:rPr>
        <w:t xml:space="preserve">.  These units shall comply with the applicable provisions of NSPS Subpart A (General Provisions) and NSPS Subpart KKKK (Standards of Performance for Stationary Combustion Turbines).  See Appendix NSPS Subpart A and Appendix NSPS Subpart KKKK for the provisions of NSPS Subparts A </w:t>
      </w:r>
      <w:r w:rsidRPr="00C20EEA">
        <w:rPr>
          <w:szCs w:val="22"/>
        </w:rPr>
        <w:t>and KKKK, respectively.  [Rules 62-204.800(8)(b)83. &amp; 62-204.800(8)(d), F.A.C.; and, 40 CFR 60]</w:t>
      </w:r>
    </w:p>
    <w:p w14:paraId="573B30E3" w14:textId="18274A04" w:rsidR="002D39D2" w:rsidRDefault="00585225" w:rsidP="002D39D2">
      <w:pPr>
        <w:tabs>
          <w:tab w:val="left" w:pos="0"/>
        </w:tabs>
        <w:suppressAutoHyphens/>
        <w:spacing w:before="120" w:after="120"/>
      </w:pPr>
      <w:hyperlink w:anchor="TableofContents" w:tooltip=" " w:history="1">
        <w:r w:rsidR="002D39D2" w:rsidRPr="00C638F9">
          <w:rPr>
            <w:rStyle w:val="Hyperlink"/>
          </w:rPr>
          <w:t>Table of Contents</w:t>
        </w:r>
      </w:hyperlink>
    </w:p>
    <w:p w14:paraId="0810C732" w14:textId="77777777" w:rsidR="002D39D2" w:rsidRPr="005538FF" w:rsidRDefault="002D39D2" w:rsidP="002D39D2">
      <w:pPr>
        <w:spacing w:before="120" w:after="120"/>
        <w:rPr>
          <w:rFonts w:eastAsia="Calibri"/>
          <w:szCs w:val="22"/>
          <w:u w:val="single"/>
        </w:rPr>
      </w:pPr>
    </w:p>
    <w:bookmarkEnd w:id="211"/>
    <w:p w14:paraId="3ABE8030" w14:textId="22F8848B" w:rsidR="008F6DE6" w:rsidRDefault="008F6DE6" w:rsidP="006D1595">
      <w:pPr>
        <w:tabs>
          <w:tab w:val="left" w:pos="1440"/>
        </w:tabs>
        <w:rPr>
          <w:color w:val="000000"/>
        </w:rPr>
        <w:sectPr w:rsidR="008F6DE6" w:rsidSect="005F79CF">
          <w:headerReference w:type="even" r:id="rId60"/>
          <w:headerReference w:type="default" r:id="rId61"/>
          <w:headerReference w:type="first" r:id="rId62"/>
          <w:pgSz w:w="12240" w:h="15840" w:code="1"/>
          <w:pgMar w:top="1080" w:right="1080" w:bottom="1080" w:left="1080" w:header="720" w:footer="720" w:gutter="0"/>
          <w:paperSrc w:first="15" w:other="15"/>
          <w:cols w:space="720"/>
        </w:sectPr>
      </w:pPr>
    </w:p>
    <w:p w14:paraId="302B2538" w14:textId="125A70F2" w:rsidR="003A1C8E" w:rsidRPr="00B91D1B" w:rsidRDefault="003A1C8E" w:rsidP="003A1C8E">
      <w:pPr>
        <w:spacing w:after="60"/>
        <w:rPr>
          <w:szCs w:val="22"/>
        </w:rPr>
      </w:pPr>
      <w:bookmarkStart w:id="233" w:name="Section3E"/>
      <w:bookmarkStart w:id="234" w:name="_GoBack"/>
      <w:bookmarkEnd w:id="233"/>
      <w:bookmarkEnd w:id="234"/>
      <w:r>
        <w:rPr>
          <w:b/>
        </w:rPr>
        <w:t>The specific conditions in this section apply to the following emissions unit:</w:t>
      </w:r>
    </w:p>
    <w:tbl>
      <w:tblPr>
        <w:tblW w:w="9954" w:type="dxa"/>
        <w:tblInd w:w="10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top w:w="43" w:type="dxa"/>
          <w:left w:w="72" w:type="dxa"/>
          <w:bottom w:w="43" w:type="dxa"/>
          <w:right w:w="72" w:type="dxa"/>
        </w:tblCellMar>
        <w:tblLook w:val="0000" w:firstRow="0" w:lastRow="0" w:firstColumn="0" w:lastColumn="0" w:noHBand="0" w:noVBand="0"/>
      </w:tblPr>
      <w:tblGrid>
        <w:gridCol w:w="939"/>
        <w:gridCol w:w="9015"/>
      </w:tblGrid>
      <w:tr w:rsidR="003A1C8E" w14:paraId="3BC2D156" w14:textId="77777777" w:rsidTr="003A1C8E">
        <w:tc>
          <w:tcPr>
            <w:tcW w:w="939" w:type="dxa"/>
            <w:tcBorders>
              <w:top w:val="single" w:sz="12" w:space="0" w:color="auto"/>
              <w:bottom w:val="single" w:sz="12" w:space="0" w:color="auto"/>
            </w:tcBorders>
          </w:tcPr>
          <w:p w14:paraId="023F9171" w14:textId="77777777" w:rsidR="003A1C8E" w:rsidRPr="00D075B0" w:rsidRDefault="003A1C8E" w:rsidP="00A916D5">
            <w:pPr>
              <w:jc w:val="center"/>
              <w:rPr>
                <w:b/>
                <w:szCs w:val="22"/>
              </w:rPr>
            </w:pPr>
            <w:bookmarkStart w:id="235" w:name="_Hlk520701603"/>
            <w:r w:rsidRPr="00D075B0">
              <w:rPr>
                <w:szCs w:val="22"/>
              </w:rPr>
              <w:br w:type="page"/>
            </w:r>
            <w:r w:rsidRPr="00D075B0">
              <w:rPr>
                <w:szCs w:val="22"/>
              </w:rPr>
              <w:br w:type="page"/>
            </w:r>
            <w:r w:rsidRPr="00D075B0">
              <w:rPr>
                <w:b/>
                <w:szCs w:val="22"/>
              </w:rPr>
              <w:t>EU No.</w:t>
            </w:r>
          </w:p>
        </w:tc>
        <w:tc>
          <w:tcPr>
            <w:tcW w:w="9015" w:type="dxa"/>
            <w:tcBorders>
              <w:top w:val="single" w:sz="12" w:space="0" w:color="auto"/>
              <w:bottom w:val="single" w:sz="12" w:space="0" w:color="auto"/>
            </w:tcBorders>
          </w:tcPr>
          <w:p w14:paraId="5BBB4E97" w14:textId="77777777" w:rsidR="003A1C8E" w:rsidRPr="00D075B0" w:rsidRDefault="003A1C8E" w:rsidP="00A916D5">
            <w:pPr>
              <w:rPr>
                <w:b/>
                <w:szCs w:val="22"/>
              </w:rPr>
            </w:pPr>
            <w:r w:rsidRPr="00D075B0">
              <w:rPr>
                <w:b/>
                <w:szCs w:val="22"/>
              </w:rPr>
              <w:t>Brief Description</w:t>
            </w:r>
          </w:p>
        </w:tc>
      </w:tr>
      <w:tr w:rsidR="003A1C8E" w14:paraId="42CCCF87" w14:textId="77777777" w:rsidTr="003A1C8E">
        <w:tc>
          <w:tcPr>
            <w:tcW w:w="939" w:type="dxa"/>
            <w:vAlign w:val="center"/>
          </w:tcPr>
          <w:p w14:paraId="56CD7AE0" w14:textId="3292CD7E" w:rsidR="003A1C8E" w:rsidRPr="003A1C8E" w:rsidRDefault="003A1C8E" w:rsidP="00A916D5">
            <w:pPr>
              <w:jc w:val="center"/>
              <w:rPr>
                <w:szCs w:val="22"/>
              </w:rPr>
            </w:pPr>
            <w:r w:rsidRPr="003A1C8E">
              <w:rPr>
                <w:szCs w:val="22"/>
              </w:rPr>
              <w:t>019</w:t>
            </w:r>
          </w:p>
        </w:tc>
        <w:tc>
          <w:tcPr>
            <w:tcW w:w="9015" w:type="dxa"/>
          </w:tcPr>
          <w:p w14:paraId="23EFD50B" w14:textId="5403683B" w:rsidR="003A1C8E" w:rsidRPr="003A1C8E" w:rsidRDefault="003A1C8E" w:rsidP="00A916D5">
            <w:r w:rsidRPr="003A1C8E">
              <w:t>22-Cell Mechanical Draft Cooling Tower</w:t>
            </w:r>
          </w:p>
        </w:tc>
      </w:tr>
    </w:tbl>
    <w:bookmarkEnd w:id="235"/>
    <w:p w14:paraId="341DEAF2" w14:textId="667D96A4" w:rsidR="008F6DE6" w:rsidRPr="00C20EEA" w:rsidRDefault="003A1C8E" w:rsidP="003A1C8E">
      <w:pPr>
        <w:tabs>
          <w:tab w:val="left" w:pos="1440"/>
        </w:tabs>
        <w:spacing w:before="120" w:after="120"/>
        <w:rPr>
          <w:color w:val="000000"/>
        </w:rPr>
      </w:pPr>
      <w:r w:rsidRPr="00C20EEA">
        <w:rPr>
          <w:color w:val="000000"/>
        </w:rPr>
        <w:t xml:space="preserve">This emissions unit is a 22-Cell Mechanical Draft Cooling Tower that commenced operation on December 10, 2004.  </w:t>
      </w:r>
    </w:p>
    <w:p w14:paraId="7B08F5FB" w14:textId="73E4D831" w:rsidR="003A1C8E" w:rsidRPr="00C20EEA" w:rsidRDefault="003A1C8E" w:rsidP="003A1C8E">
      <w:pPr>
        <w:tabs>
          <w:tab w:val="left" w:pos="1440"/>
        </w:tabs>
        <w:spacing w:before="120" w:after="120"/>
        <w:rPr>
          <w:i/>
          <w:color w:val="000000"/>
        </w:rPr>
      </w:pPr>
      <w:r w:rsidRPr="00C20EEA">
        <w:rPr>
          <w:i/>
          <w:color w:val="000000"/>
        </w:rPr>
        <w:t>{Permitting Note:  This unit is subject to Rule 62-212.400, F.A.C., BACT for PM/PM</w:t>
      </w:r>
      <w:r w:rsidRPr="00C20EEA">
        <w:rPr>
          <w:i/>
          <w:color w:val="000000"/>
          <w:vertAlign w:val="subscript"/>
        </w:rPr>
        <w:t>10</w:t>
      </w:r>
      <w:r w:rsidRPr="00C20EEA">
        <w:rPr>
          <w:i/>
          <w:color w:val="000000"/>
        </w:rPr>
        <w:t>}</w:t>
      </w:r>
    </w:p>
    <w:p w14:paraId="52458A37" w14:textId="6484DD43" w:rsidR="00A51F5C" w:rsidRPr="00C20EEA" w:rsidRDefault="00A51F5C" w:rsidP="00114020">
      <w:pPr>
        <w:numPr>
          <w:ilvl w:val="0"/>
          <w:numId w:val="109"/>
        </w:numPr>
        <w:spacing w:before="120" w:after="120"/>
        <w:rPr>
          <w:szCs w:val="22"/>
        </w:rPr>
      </w:pPr>
      <w:r w:rsidRPr="00C20EEA">
        <w:rPr>
          <w:szCs w:val="22"/>
          <w:u w:val="single"/>
        </w:rPr>
        <w:t>Cooling Tower</w:t>
      </w:r>
      <w:r w:rsidRPr="00C20EEA">
        <w:rPr>
          <w:szCs w:val="22"/>
        </w:rPr>
        <w:t>.  The permittee is authorized to operate a 22-cell mechanical draft cooling tower with the following design characteristics:  a circulating water flow rate of 310,000 gpm; design hot/cold water temperatures of 104 °F/90 °F; a design air flow rate of 1,386,055 per cell; a liquid-to-gas air flow ratio of 1.4; and drift eliminators with a drift rate of no more than 0.001%.  [Permit Nos. 0850001-010-AC</w:t>
      </w:r>
      <w:r w:rsidR="00E23D44" w:rsidRPr="00C20EEA">
        <w:rPr>
          <w:szCs w:val="22"/>
        </w:rPr>
        <w:t>/</w:t>
      </w:r>
      <w:r w:rsidRPr="00C20EEA">
        <w:rPr>
          <w:szCs w:val="22"/>
        </w:rPr>
        <w:t>PSD-FL-327 &amp; 0850001-016-AC</w:t>
      </w:r>
      <w:r w:rsidR="00E23D44" w:rsidRPr="00C20EEA">
        <w:rPr>
          <w:szCs w:val="22"/>
        </w:rPr>
        <w:t>/</w:t>
      </w:r>
      <w:r w:rsidRPr="00C20EEA">
        <w:rPr>
          <w:szCs w:val="22"/>
        </w:rPr>
        <w:t>PSD-FL-327B</w:t>
      </w:r>
      <w:r w:rsidR="00E23D44" w:rsidRPr="00C20EEA">
        <w:rPr>
          <w:szCs w:val="22"/>
        </w:rPr>
        <w:t xml:space="preserve"> &amp;</w:t>
      </w:r>
      <w:r w:rsidRPr="00C20EEA">
        <w:rPr>
          <w:szCs w:val="22"/>
        </w:rPr>
        <w:t xml:space="preserve"> PSD-FL-146C]</w:t>
      </w:r>
    </w:p>
    <w:p w14:paraId="50D447FB" w14:textId="77777777" w:rsidR="00A51F5C" w:rsidRPr="00C16FF6" w:rsidRDefault="00A51F5C" w:rsidP="00A51F5C">
      <w:pPr>
        <w:spacing w:after="120"/>
        <w:rPr>
          <w:b/>
          <w:szCs w:val="22"/>
          <w:u w:val="single"/>
        </w:rPr>
      </w:pPr>
      <w:r w:rsidRPr="00C16FF6">
        <w:rPr>
          <w:b/>
          <w:szCs w:val="22"/>
          <w:u w:val="single"/>
        </w:rPr>
        <w:t>Emissions and Performance Requirements</w:t>
      </w:r>
    </w:p>
    <w:p w14:paraId="7ADA4684" w14:textId="1CCEBBCA" w:rsidR="00A51F5C" w:rsidRPr="00C16FF6" w:rsidRDefault="00A51F5C" w:rsidP="00114020">
      <w:pPr>
        <w:numPr>
          <w:ilvl w:val="0"/>
          <w:numId w:val="109"/>
        </w:numPr>
        <w:spacing w:before="120"/>
        <w:rPr>
          <w:szCs w:val="22"/>
        </w:rPr>
      </w:pPr>
      <w:r w:rsidRPr="00C16FF6">
        <w:rPr>
          <w:szCs w:val="22"/>
          <w:u w:val="single"/>
        </w:rPr>
        <w:t>Drift Rate</w:t>
      </w:r>
      <w:r w:rsidRPr="00C16FF6">
        <w:rPr>
          <w:szCs w:val="22"/>
        </w:rPr>
        <w:t xml:space="preserve">.  The permittee has submitted </w:t>
      </w:r>
      <w:r w:rsidRPr="00C20EEA">
        <w:rPr>
          <w:szCs w:val="22"/>
        </w:rPr>
        <w:t xml:space="preserve">certification that the cooling tower was constructed to achieve the specified drift rate of no more than 0.001% of the circulating water flow rate.  </w:t>
      </w:r>
      <w:r w:rsidRPr="00C20EEA">
        <w:rPr>
          <w:i/>
          <w:iCs/>
          <w:szCs w:val="22"/>
        </w:rPr>
        <w:t>{Note:  This work practice standard is established as BACT for PM/PM</w:t>
      </w:r>
      <w:r w:rsidRPr="00C20EEA">
        <w:rPr>
          <w:i/>
          <w:iCs/>
          <w:szCs w:val="22"/>
          <w:vertAlign w:val="subscript"/>
        </w:rPr>
        <w:t>10</w:t>
      </w:r>
      <w:r w:rsidRPr="00C20EEA">
        <w:rPr>
          <w:i/>
          <w:iCs/>
          <w:szCs w:val="22"/>
        </w:rPr>
        <w:t xml:space="preserve"> </w:t>
      </w:r>
      <w:r w:rsidRPr="00C16FF6">
        <w:rPr>
          <w:i/>
          <w:iCs/>
          <w:szCs w:val="22"/>
        </w:rPr>
        <w:t>emissions from the cooling tower.  Based on this design criteria, potential emissions are expected to be less than 34 tons of PM per year and less than 10 tons of PM</w:t>
      </w:r>
      <w:r w:rsidRPr="00C16FF6">
        <w:rPr>
          <w:i/>
          <w:iCs/>
          <w:szCs w:val="22"/>
          <w:vertAlign w:val="subscript"/>
        </w:rPr>
        <w:t>10</w:t>
      </w:r>
      <w:r w:rsidRPr="00C16FF6">
        <w:rPr>
          <w:i/>
          <w:iCs/>
          <w:szCs w:val="22"/>
        </w:rPr>
        <w:t xml:space="preserve"> per year.  Actual emissions are expected be less than half these rates.}</w:t>
      </w:r>
      <w:r w:rsidRPr="00C16FF6">
        <w:rPr>
          <w:szCs w:val="22"/>
        </w:rPr>
        <w:t xml:space="preserve">  [Permit No. </w:t>
      </w:r>
      <w:r w:rsidR="00E23D44" w:rsidRPr="00A51F5C">
        <w:rPr>
          <w:szCs w:val="22"/>
        </w:rPr>
        <w:t>0850001-010-AC</w:t>
      </w:r>
      <w:r w:rsidR="00E23D44" w:rsidRPr="00C20EEA">
        <w:rPr>
          <w:szCs w:val="22"/>
        </w:rPr>
        <w:t>/</w:t>
      </w:r>
      <w:r w:rsidR="00E23D44" w:rsidRPr="00A51F5C">
        <w:rPr>
          <w:szCs w:val="22"/>
        </w:rPr>
        <w:t>PSD-FL-327</w:t>
      </w:r>
      <w:r w:rsidRPr="00C16FF6">
        <w:rPr>
          <w:szCs w:val="22"/>
        </w:rPr>
        <w:t>]</w:t>
      </w:r>
    </w:p>
    <w:p w14:paraId="396DAE65" w14:textId="625C6A86" w:rsidR="00A51F5C" w:rsidRDefault="00585225" w:rsidP="00A51F5C">
      <w:pPr>
        <w:tabs>
          <w:tab w:val="left" w:pos="0"/>
        </w:tabs>
        <w:suppressAutoHyphens/>
        <w:spacing w:before="120" w:after="120"/>
      </w:pPr>
      <w:hyperlink w:anchor="TableofContents" w:tooltip=" " w:history="1">
        <w:r w:rsidR="00A51F5C" w:rsidRPr="00C638F9">
          <w:rPr>
            <w:rStyle w:val="Hyperlink"/>
          </w:rPr>
          <w:t>Table of Contents</w:t>
        </w:r>
      </w:hyperlink>
    </w:p>
    <w:p w14:paraId="5DF85C00" w14:textId="77777777" w:rsidR="003A1C8E" w:rsidRDefault="003A1C8E" w:rsidP="006D1595">
      <w:pPr>
        <w:tabs>
          <w:tab w:val="left" w:pos="1440"/>
        </w:tabs>
        <w:rPr>
          <w:color w:val="000000"/>
        </w:rPr>
      </w:pPr>
    </w:p>
    <w:p w14:paraId="4803C9E7" w14:textId="7ACB2286" w:rsidR="003A1C8E" w:rsidRDefault="003A1C8E" w:rsidP="006D1595">
      <w:pPr>
        <w:tabs>
          <w:tab w:val="left" w:pos="1440"/>
        </w:tabs>
        <w:rPr>
          <w:color w:val="000000"/>
        </w:rPr>
        <w:sectPr w:rsidR="003A1C8E" w:rsidSect="005F79CF">
          <w:headerReference w:type="even" r:id="rId63"/>
          <w:headerReference w:type="default" r:id="rId64"/>
          <w:headerReference w:type="first" r:id="rId65"/>
          <w:pgSz w:w="12240" w:h="15840" w:code="1"/>
          <w:pgMar w:top="1080" w:right="1080" w:bottom="1080" w:left="1080" w:header="720" w:footer="720" w:gutter="0"/>
          <w:paperSrc w:first="15" w:other="15"/>
          <w:cols w:space="720"/>
        </w:sectPr>
      </w:pPr>
    </w:p>
    <w:p w14:paraId="42451662" w14:textId="4F8BEE34" w:rsidR="00A916D5" w:rsidRDefault="00A916D5" w:rsidP="00A916D5">
      <w:pPr>
        <w:spacing w:before="120" w:after="120"/>
        <w:rPr>
          <w:b/>
          <w:szCs w:val="22"/>
        </w:rPr>
      </w:pPr>
      <w:bookmarkStart w:id="236" w:name="Section3F"/>
      <w:bookmarkStart w:id="237" w:name="SectionIIIF"/>
      <w:bookmarkEnd w:id="236"/>
      <w:r>
        <w:rPr>
          <w:b/>
          <w:szCs w:val="22"/>
        </w:rPr>
        <w:t>The specific conditions in this section apply to the following emissions unit.</w:t>
      </w:r>
    </w:p>
    <w:tbl>
      <w:tblPr>
        <w:tblW w:w="9954" w:type="dxa"/>
        <w:tblInd w:w="10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top w:w="43" w:type="dxa"/>
          <w:left w:w="72" w:type="dxa"/>
          <w:bottom w:w="43" w:type="dxa"/>
          <w:right w:w="72" w:type="dxa"/>
        </w:tblCellMar>
        <w:tblLook w:val="0000" w:firstRow="0" w:lastRow="0" w:firstColumn="0" w:lastColumn="0" w:noHBand="0" w:noVBand="0"/>
      </w:tblPr>
      <w:tblGrid>
        <w:gridCol w:w="939"/>
        <w:gridCol w:w="9015"/>
      </w:tblGrid>
      <w:tr w:rsidR="00A916D5" w14:paraId="45862661" w14:textId="77777777" w:rsidTr="00A916D5">
        <w:tc>
          <w:tcPr>
            <w:tcW w:w="939" w:type="dxa"/>
            <w:tcBorders>
              <w:top w:val="single" w:sz="12" w:space="0" w:color="auto"/>
              <w:bottom w:val="single" w:sz="12" w:space="0" w:color="auto"/>
            </w:tcBorders>
          </w:tcPr>
          <w:p w14:paraId="2CE35D41" w14:textId="77777777" w:rsidR="00A916D5" w:rsidRPr="00D075B0" w:rsidRDefault="00A916D5" w:rsidP="00A916D5">
            <w:pPr>
              <w:jc w:val="center"/>
              <w:rPr>
                <w:b/>
                <w:szCs w:val="22"/>
              </w:rPr>
            </w:pPr>
            <w:r w:rsidRPr="00D075B0">
              <w:rPr>
                <w:szCs w:val="22"/>
              </w:rPr>
              <w:br w:type="page"/>
            </w:r>
            <w:r w:rsidRPr="00D075B0">
              <w:rPr>
                <w:szCs w:val="22"/>
              </w:rPr>
              <w:br w:type="page"/>
            </w:r>
            <w:r w:rsidRPr="00D075B0">
              <w:rPr>
                <w:b/>
                <w:szCs w:val="22"/>
              </w:rPr>
              <w:t>EU No.</w:t>
            </w:r>
          </w:p>
        </w:tc>
        <w:tc>
          <w:tcPr>
            <w:tcW w:w="9015" w:type="dxa"/>
            <w:tcBorders>
              <w:top w:val="single" w:sz="12" w:space="0" w:color="auto"/>
              <w:bottom w:val="single" w:sz="12" w:space="0" w:color="auto"/>
            </w:tcBorders>
          </w:tcPr>
          <w:p w14:paraId="297D4328" w14:textId="77777777" w:rsidR="00A916D5" w:rsidRPr="00D075B0" w:rsidRDefault="00A916D5" w:rsidP="00A916D5">
            <w:pPr>
              <w:rPr>
                <w:b/>
                <w:szCs w:val="22"/>
              </w:rPr>
            </w:pPr>
            <w:r w:rsidRPr="00D075B0">
              <w:rPr>
                <w:b/>
                <w:szCs w:val="22"/>
              </w:rPr>
              <w:t>Brief Description</w:t>
            </w:r>
          </w:p>
        </w:tc>
      </w:tr>
      <w:tr w:rsidR="00A916D5" w14:paraId="7A55C81F" w14:textId="77777777" w:rsidTr="00A916D5">
        <w:tc>
          <w:tcPr>
            <w:tcW w:w="939" w:type="dxa"/>
            <w:tcBorders>
              <w:top w:val="single" w:sz="12" w:space="0" w:color="auto"/>
              <w:bottom w:val="single" w:sz="12" w:space="0" w:color="auto"/>
            </w:tcBorders>
            <w:vAlign w:val="center"/>
          </w:tcPr>
          <w:p w14:paraId="467B30B4" w14:textId="5BB74B08" w:rsidR="00A916D5" w:rsidRPr="003A1C8E" w:rsidRDefault="00A916D5" w:rsidP="00A916D5">
            <w:pPr>
              <w:jc w:val="center"/>
              <w:rPr>
                <w:szCs w:val="22"/>
              </w:rPr>
            </w:pPr>
            <w:r>
              <w:rPr>
                <w:szCs w:val="22"/>
              </w:rPr>
              <w:t>014</w:t>
            </w:r>
          </w:p>
        </w:tc>
        <w:tc>
          <w:tcPr>
            <w:tcW w:w="9015" w:type="dxa"/>
            <w:tcBorders>
              <w:top w:val="single" w:sz="12" w:space="0" w:color="auto"/>
              <w:bottom w:val="single" w:sz="12" w:space="0" w:color="auto"/>
            </w:tcBorders>
            <w:vAlign w:val="center"/>
          </w:tcPr>
          <w:p w14:paraId="7F083E95" w14:textId="2854B0BE" w:rsidR="00A916D5" w:rsidRPr="003A1C8E" w:rsidRDefault="00A916D5" w:rsidP="00A916D5">
            <w:r>
              <w:rPr>
                <w:szCs w:val="22"/>
              </w:rPr>
              <w:t>Two distillate oil storage tanks for Unit 8 gas turbines (2.1 million gallons each)</w:t>
            </w:r>
          </w:p>
        </w:tc>
      </w:tr>
    </w:tbl>
    <w:bookmarkEnd w:id="237"/>
    <w:p w14:paraId="362B9C5E" w14:textId="77777777" w:rsidR="00A916D5" w:rsidRDefault="00A916D5" w:rsidP="00A916D5">
      <w:pPr>
        <w:spacing w:before="120" w:after="120"/>
        <w:rPr>
          <w:b/>
          <w:szCs w:val="22"/>
          <w:u w:val="single"/>
        </w:rPr>
      </w:pPr>
      <w:r>
        <w:rPr>
          <w:b/>
          <w:szCs w:val="22"/>
          <w:u w:val="single"/>
        </w:rPr>
        <w:t>NSPS Applicability</w:t>
      </w:r>
    </w:p>
    <w:p w14:paraId="421A9744" w14:textId="77777777" w:rsidR="00A916D5" w:rsidRDefault="00A916D5" w:rsidP="00114020">
      <w:pPr>
        <w:numPr>
          <w:ilvl w:val="0"/>
          <w:numId w:val="110"/>
        </w:numPr>
        <w:tabs>
          <w:tab w:val="clear" w:pos="5760"/>
          <w:tab w:val="num" w:pos="720"/>
        </w:tabs>
        <w:spacing w:before="120" w:after="120"/>
        <w:ind w:left="360" w:hanging="360"/>
        <w:rPr>
          <w:szCs w:val="22"/>
        </w:rPr>
      </w:pPr>
      <w:r>
        <w:rPr>
          <w:szCs w:val="22"/>
          <w:u w:val="single"/>
        </w:rPr>
        <w:t xml:space="preserve">NSPS Subpart </w:t>
      </w:r>
      <w:proofErr w:type="spellStart"/>
      <w:r>
        <w:rPr>
          <w:szCs w:val="22"/>
          <w:u w:val="single"/>
        </w:rPr>
        <w:t>Kb</w:t>
      </w:r>
      <w:proofErr w:type="spellEnd"/>
      <w:r>
        <w:rPr>
          <w:szCs w:val="22"/>
          <w:u w:val="single"/>
        </w:rPr>
        <w:t xml:space="preserve"> Applicability</w:t>
      </w:r>
      <w:r>
        <w:rPr>
          <w:szCs w:val="22"/>
        </w:rPr>
        <w:t xml:space="preserve">.  The distillate oil tanks are not subject to Subpart </w:t>
      </w:r>
      <w:proofErr w:type="spellStart"/>
      <w:r>
        <w:rPr>
          <w:szCs w:val="22"/>
        </w:rPr>
        <w:t>Kb</w:t>
      </w:r>
      <w:proofErr w:type="spellEnd"/>
      <w:r>
        <w:rPr>
          <w:szCs w:val="22"/>
        </w:rPr>
        <w:t xml:space="preserve">, which applies to any storage tank with a capacity greater than or equal to 10,300 gallons (40 cubic meters) that is used to store volatile organic liquids for which construction, reconstruction, or modification is commenced after July 23, 1984.  Tanks with a capacity greater than or equal to 40,000 gallons (151 cubic meters) storing a liquid with a maximum true vapor pressure less than 3.5 kPa are exempt from the General Provisions (40 CFR 60, Subpart A) and from the provisions of NSPS Subpart </w:t>
      </w:r>
      <w:proofErr w:type="spellStart"/>
      <w:r>
        <w:rPr>
          <w:szCs w:val="22"/>
        </w:rPr>
        <w:t>Kb</w:t>
      </w:r>
      <w:proofErr w:type="spellEnd"/>
      <w:r>
        <w:rPr>
          <w:szCs w:val="22"/>
        </w:rPr>
        <w:t>, except for the record keeping requirements listed below.  [Rule 62-204.800, F.A.C.; 40 CFR 60.110b(a) &amp; (c); and, Permit Nos. 0850001-016-AC (PSD-FL-327B and PSD-FL-146C)]</w:t>
      </w:r>
    </w:p>
    <w:p w14:paraId="1129F2BC" w14:textId="77777777" w:rsidR="00A916D5" w:rsidRDefault="00A916D5" w:rsidP="00A916D5">
      <w:pPr>
        <w:spacing w:after="120"/>
        <w:rPr>
          <w:b/>
          <w:szCs w:val="22"/>
          <w:u w:val="single"/>
        </w:rPr>
      </w:pPr>
      <w:r>
        <w:rPr>
          <w:b/>
          <w:szCs w:val="22"/>
          <w:u w:val="single"/>
        </w:rPr>
        <w:t>Equipment Specifications</w:t>
      </w:r>
    </w:p>
    <w:p w14:paraId="1151C069" w14:textId="77777777" w:rsidR="00A916D5" w:rsidRDefault="00A916D5" w:rsidP="00114020">
      <w:pPr>
        <w:numPr>
          <w:ilvl w:val="0"/>
          <w:numId w:val="110"/>
        </w:numPr>
        <w:tabs>
          <w:tab w:val="clear" w:pos="5760"/>
          <w:tab w:val="num" w:pos="720"/>
        </w:tabs>
        <w:spacing w:before="120"/>
        <w:ind w:left="360" w:hanging="360"/>
        <w:rPr>
          <w:szCs w:val="22"/>
        </w:rPr>
      </w:pPr>
      <w:r>
        <w:rPr>
          <w:szCs w:val="22"/>
          <w:u w:val="single"/>
        </w:rPr>
        <w:t>Equipment</w:t>
      </w:r>
      <w:r>
        <w:rPr>
          <w:szCs w:val="22"/>
        </w:rPr>
        <w:t>.  The permittee is authorized to operate and maintain two, 2.1 million gallon distillate oil storage tank designed to provide low sulfur distillate oil to the Unit 8 gas turbines.  [Permit No. 0850001-010-AC (PSD-FL-327)]</w:t>
      </w:r>
    </w:p>
    <w:p w14:paraId="084F32C5" w14:textId="77777777" w:rsidR="00A916D5" w:rsidRDefault="00A916D5" w:rsidP="00A916D5">
      <w:pPr>
        <w:spacing w:after="120"/>
        <w:ind w:left="360"/>
        <w:rPr>
          <w:szCs w:val="22"/>
        </w:rPr>
      </w:pPr>
      <w:r>
        <w:rPr>
          <w:i/>
          <w:iCs/>
          <w:szCs w:val="22"/>
        </w:rPr>
        <w:t>{Permitting Note:  One existing 2.1 million gallon distillate oil storage tank was permitted under PSD-FL-286.}</w:t>
      </w:r>
    </w:p>
    <w:p w14:paraId="615B7300" w14:textId="77777777" w:rsidR="00A916D5" w:rsidRDefault="00A916D5" w:rsidP="00A916D5">
      <w:pPr>
        <w:widowControl w:val="0"/>
        <w:spacing w:after="120"/>
        <w:rPr>
          <w:b/>
          <w:szCs w:val="22"/>
          <w:u w:val="single"/>
        </w:rPr>
      </w:pPr>
      <w:r>
        <w:rPr>
          <w:b/>
          <w:szCs w:val="22"/>
          <w:u w:val="single"/>
        </w:rPr>
        <w:t>Essential Potential to Emit (PTE) Parameters</w:t>
      </w:r>
    </w:p>
    <w:p w14:paraId="0C57B320" w14:textId="77777777" w:rsidR="00A916D5" w:rsidRDefault="00A916D5" w:rsidP="00114020">
      <w:pPr>
        <w:numPr>
          <w:ilvl w:val="0"/>
          <w:numId w:val="110"/>
        </w:numPr>
        <w:tabs>
          <w:tab w:val="clear" w:pos="5760"/>
          <w:tab w:val="num" w:pos="720"/>
        </w:tabs>
        <w:spacing w:before="120"/>
        <w:ind w:left="360" w:hanging="360"/>
        <w:rPr>
          <w:szCs w:val="22"/>
        </w:rPr>
      </w:pPr>
      <w:r>
        <w:rPr>
          <w:szCs w:val="22"/>
          <w:u w:val="single"/>
        </w:rPr>
        <w:t>Hours of Operation</w:t>
      </w:r>
      <w:r>
        <w:rPr>
          <w:szCs w:val="22"/>
        </w:rPr>
        <w:t>.  The hours of operation are not restricted (8,760 hours per year).  [Permit No. 0850001-010-AC (PSD-FL-327)]</w:t>
      </w:r>
    </w:p>
    <w:p w14:paraId="1B7F8A39" w14:textId="77777777" w:rsidR="00A916D5" w:rsidRDefault="00A916D5" w:rsidP="00A916D5">
      <w:pPr>
        <w:tabs>
          <w:tab w:val="left" w:pos="0"/>
        </w:tabs>
        <w:suppressAutoHyphens/>
        <w:spacing w:before="120" w:after="120"/>
        <w:rPr>
          <w:b/>
          <w:szCs w:val="22"/>
          <w:u w:val="single"/>
        </w:rPr>
      </w:pPr>
      <w:r>
        <w:rPr>
          <w:b/>
          <w:szCs w:val="22"/>
          <w:u w:val="single"/>
        </w:rPr>
        <w:t>Recordkeeping and Reporting Requirements</w:t>
      </w:r>
    </w:p>
    <w:p w14:paraId="06E67E02" w14:textId="77777777" w:rsidR="00A916D5" w:rsidRDefault="00A916D5" w:rsidP="00114020">
      <w:pPr>
        <w:numPr>
          <w:ilvl w:val="0"/>
          <w:numId w:val="110"/>
        </w:numPr>
        <w:tabs>
          <w:tab w:val="clear" w:pos="5760"/>
          <w:tab w:val="num" w:pos="720"/>
        </w:tabs>
        <w:spacing w:before="120" w:after="120"/>
        <w:ind w:left="360" w:hanging="360"/>
        <w:rPr>
          <w:szCs w:val="22"/>
        </w:rPr>
      </w:pPr>
      <w:r>
        <w:rPr>
          <w:szCs w:val="22"/>
          <w:u w:val="single"/>
        </w:rPr>
        <w:t>Oil Tank Records</w:t>
      </w:r>
      <w:r>
        <w:rPr>
          <w:szCs w:val="22"/>
        </w:rPr>
        <w:t>.  The permittee shall keep readily accessible records showing the dimension of each storage vessel and an analysis showing the capacity of each storage tank.  Records shall be retained for the life of the facility.  The permittee shall also keep records sufficient to determine the annual throughput of distillate oil for each storage tank for use in the Annual Operating Report.  [Rule 62-204.800(7)(b)16, F.A.C.; 40 CFR 60.116b(a) &amp; (b); and, Permit No. 0850001-010-AC (PSD-FL-327)]</w:t>
      </w:r>
    </w:p>
    <w:p w14:paraId="537CC946" w14:textId="77777777" w:rsidR="00A916D5" w:rsidRDefault="00A916D5" w:rsidP="001A0480">
      <w:pPr>
        <w:spacing w:after="120"/>
        <w:ind w:left="360"/>
        <w:rPr>
          <w:i/>
          <w:szCs w:val="22"/>
        </w:rPr>
      </w:pPr>
      <w:r>
        <w:rPr>
          <w:i/>
          <w:szCs w:val="22"/>
        </w:rPr>
        <w:t>{Permitting Note:  These new distillate oil storage tanks serve Unit 8.  An existing 50,000-barrel distillate oil storage tank was constructed as part of Units 3 and 4.  The existing tank was identified for use in Permit No. PSD-FL-268 issued for simple cycle Units 8A and 8B.  Unit 8 will utilize both the existing and new distillate oil storage tanks.}</w:t>
      </w:r>
    </w:p>
    <w:p w14:paraId="75426542" w14:textId="77777777" w:rsidR="00A916D5" w:rsidRDefault="00A916D5" w:rsidP="00114020">
      <w:pPr>
        <w:numPr>
          <w:ilvl w:val="0"/>
          <w:numId w:val="110"/>
        </w:numPr>
        <w:tabs>
          <w:tab w:val="clear" w:pos="5760"/>
          <w:tab w:val="num" w:pos="720"/>
        </w:tabs>
        <w:spacing w:before="120"/>
        <w:ind w:left="360" w:hanging="360"/>
        <w:rPr>
          <w:szCs w:val="22"/>
        </w:rPr>
      </w:pPr>
      <w:r>
        <w:rPr>
          <w:szCs w:val="22"/>
          <w:u w:val="single"/>
        </w:rPr>
        <w:t>Fuel Oil Records</w:t>
      </w:r>
      <w:r>
        <w:rPr>
          <w:szCs w:val="22"/>
        </w:rPr>
        <w:t>.  The permittee shall keep readily accessible records showing the maximum true vapor pressure of the stored liquid.  The maximum true vapor pressure shall be less than 3.5 kPa.  Compliance with this condition may be demonstrated by using the information from the respective Material Safety Data Sheets (MSDS) for the low or ultralow sulfur fuel oil stored in the tanks.  [Permit No. 0850001-016-AC (PSD-FL-327B and PSD-FL-146C)]</w:t>
      </w:r>
    </w:p>
    <w:p w14:paraId="0F338539" w14:textId="77777777" w:rsidR="00A916D5" w:rsidRDefault="00A916D5" w:rsidP="00A916D5">
      <w:pPr>
        <w:pStyle w:val="BodyText"/>
        <w:ind w:left="270"/>
        <w:rPr>
          <w:i/>
          <w:szCs w:val="22"/>
        </w:rPr>
      </w:pPr>
      <w:r>
        <w:rPr>
          <w:i/>
          <w:szCs w:val="22"/>
        </w:rPr>
        <w:t>{Permitting Note:  An evaluation of several MSDS by the Department demonstrated that the vapor pressure is much less than 3.5 kPa for low sulfur fuel oil and for ultralow sulfur fuel oil.}</w:t>
      </w:r>
    </w:p>
    <w:p w14:paraId="6AD50CDE" w14:textId="77777777" w:rsidR="00A916D5" w:rsidRDefault="00A916D5" w:rsidP="00114020">
      <w:pPr>
        <w:numPr>
          <w:ilvl w:val="0"/>
          <w:numId w:val="110"/>
        </w:numPr>
        <w:tabs>
          <w:tab w:val="clear" w:pos="5760"/>
          <w:tab w:val="num" w:pos="720"/>
        </w:tabs>
        <w:spacing w:before="120"/>
        <w:ind w:left="360" w:hanging="360"/>
        <w:rPr>
          <w:szCs w:val="22"/>
        </w:rPr>
      </w:pPr>
      <w:r>
        <w:rPr>
          <w:szCs w:val="22"/>
          <w:u w:val="single"/>
        </w:rPr>
        <w:t>Other Reporting Requirements</w:t>
      </w:r>
      <w:r>
        <w:rPr>
          <w:szCs w:val="22"/>
        </w:rPr>
        <w:t xml:space="preserve">.  See </w:t>
      </w:r>
      <w:r>
        <w:rPr>
          <w:bCs/>
          <w:szCs w:val="22"/>
        </w:rPr>
        <w:t>Appendix RR, Facility-Wide Reporting Requirements</w:t>
      </w:r>
      <w:r>
        <w:rPr>
          <w:szCs w:val="22"/>
        </w:rPr>
        <w:t>, for additional reporting requirements.  {Rule 62-213.440(1)(b), F.A.C.]</w:t>
      </w:r>
    </w:p>
    <w:p w14:paraId="3DF67F0C" w14:textId="0E6F81E8" w:rsidR="00375729" w:rsidRPr="00375729" w:rsidRDefault="00585225" w:rsidP="00375729">
      <w:pPr>
        <w:tabs>
          <w:tab w:val="left" w:pos="0"/>
        </w:tabs>
        <w:suppressAutoHyphens/>
        <w:spacing w:before="120" w:after="120"/>
      </w:pPr>
      <w:hyperlink w:anchor="TableofContents" w:tooltip=" " w:history="1">
        <w:r w:rsidR="00375729" w:rsidRPr="00C638F9">
          <w:rPr>
            <w:rStyle w:val="Hyperlink"/>
          </w:rPr>
          <w:t xml:space="preserve">Table </w:t>
        </w:r>
        <w:r w:rsidR="00375729" w:rsidRPr="00C638F9">
          <w:rPr>
            <w:rStyle w:val="Hyperlink"/>
          </w:rPr>
          <w:t>o</w:t>
        </w:r>
        <w:r w:rsidR="00375729" w:rsidRPr="00C638F9">
          <w:rPr>
            <w:rStyle w:val="Hyperlink"/>
          </w:rPr>
          <w:t>f Contents</w:t>
        </w:r>
      </w:hyperlink>
    </w:p>
    <w:p w14:paraId="3A16A15E" w14:textId="0129DC56" w:rsidR="00375729" w:rsidRDefault="00375729" w:rsidP="00A916D5">
      <w:pPr>
        <w:tabs>
          <w:tab w:val="left" w:pos="1440"/>
        </w:tabs>
        <w:rPr>
          <w:color w:val="000000"/>
        </w:rPr>
        <w:sectPr w:rsidR="00375729" w:rsidSect="005F79CF">
          <w:headerReference w:type="even" r:id="rId66"/>
          <w:headerReference w:type="default" r:id="rId67"/>
          <w:headerReference w:type="first" r:id="rId68"/>
          <w:pgSz w:w="12240" w:h="15840" w:code="1"/>
          <w:pgMar w:top="1080" w:right="1080" w:bottom="1080" w:left="1080" w:header="720" w:footer="720" w:gutter="0"/>
          <w:paperSrc w:first="15" w:other="15"/>
          <w:cols w:space="720"/>
        </w:sectPr>
      </w:pPr>
    </w:p>
    <w:p w14:paraId="2D44DB29" w14:textId="05546681" w:rsidR="000302AB" w:rsidRDefault="000302AB" w:rsidP="000302AB">
      <w:pPr>
        <w:spacing w:before="120" w:after="120"/>
        <w:rPr>
          <w:b/>
          <w:szCs w:val="22"/>
        </w:rPr>
      </w:pPr>
      <w:bookmarkStart w:id="238" w:name="Section3G"/>
      <w:bookmarkEnd w:id="238"/>
      <w:r>
        <w:rPr>
          <w:b/>
          <w:szCs w:val="22"/>
        </w:rPr>
        <w:t>The specific conditions in this section apply to the following emissions unit</w:t>
      </w:r>
      <w:r w:rsidR="00030715">
        <w:rPr>
          <w:b/>
          <w:szCs w:val="22"/>
        </w:rPr>
        <w:t>.</w:t>
      </w:r>
    </w:p>
    <w:tbl>
      <w:tblPr>
        <w:tblW w:w="9954" w:type="dxa"/>
        <w:tblInd w:w="10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top w:w="43" w:type="dxa"/>
          <w:left w:w="72" w:type="dxa"/>
          <w:bottom w:w="43" w:type="dxa"/>
          <w:right w:w="72" w:type="dxa"/>
        </w:tblCellMar>
        <w:tblLook w:val="0000" w:firstRow="0" w:lastRow="0" w:firstColumn="0" w:lastColumn="0" w:noHBand="0" w:noVBand="0"/>
      </w:tblPr>
      <w:tblGrid>
        <w:gridCol w:w="939"/>
        <w:gridCol w:w="9015"/>
      </w:tblGrid>
      <w:tr w:rsidR="000302AB" w14:paraId="43E7859A" w14:textId="77777777" w:rsidTr="00030715">
        <w:tc>
          <w:tcPr>
            <w:tcW w:w="939" w:type="dxa"/>
            <w:tcBorders>
              <w:top w:val="single" w:sz="12" w:space="0" w:color="auto"/>
              <w:bottom w:val="single" w:sz="12" w:space="0" w:color="auto"/>
            </w:tcBorders>
          </w:tcPr>
          <w:p w14:paraId="45987FF2" w14:textId="77777777" w:rsidR="000302AB" w:rsidRPr="00D075B0" w:rsidRDefault="000302AB" w:rsidP="00030715">
            <w:pPr>
              <w:jc w:val="center"/>
              <w:rPr>
                <w:b/>
                <w:szCs w:val="22"/>
              </w:rPr>
            </w:pPr>
            <w:r w:rsidRPr="00D075B0">
              <w:rPr>
                <w:szCs w:val="22"/>
              </w:rPr>
              <w:br w:type="page"/>
            </w:r>
            <w:r w:rsidRPr="00D075B0">
              <w:rPr>
                <w:szCs w:val="22"/>
              </w:rPr>
              <w:br w:type="page"/>
            </w:r>
            <w:r w:rsidRPr="00D075B0">
              <w:rPr>
                <w:b/>
                <w:szCs w:val="22"/>
              </w:rPr>
              <w:t>EU No.</w:t>
            </w:r>
          </w:p>
        </w:tc>
        <w:tc>
          <w:tcPr>
            <w:tcW w:w="9015" w:type="dxa"/>
            <w:tcBorders>
              <w:top w:val="single" w:sz="12" w:space="0" w:color="auto"/>
              <w:bottom w:val="single" w:sz="12" w:space="0" w:color="auto"/>
            </w:tcBorders>
          </w:tcPr>
          <w:p w14:paraId="06714EC5" w14:textId="77777777" w:rsidR="000302AB" w:rsidRPr="00D075B0" w:rsidRDefault="000302AB" w:rsidP="00030715">
            <w:pPr>
              <w:rPr>
                <w:b/>
                <w:szCs w:val="22"/>
              </w:rPr>
            </w:pPr>
            <w:r w:rsidRPr="00D075B0">
              <w:rPr>
                <w:b/>
                <w:szCs w:val="22"/>
              </w:rPr>
              <w:t>Brief Description</w:t>
            </w:r>
          </w:p>
        </w:tc>
      </w:tr>
      <w:tr w:rsidR="000302AB" w14:paraId="5BF52544" w14:textId="77777777" w:rsidTr="00030715">
        <w:tc>
          <w:tcPr>
            <w:tcW w:w="939" w:type="dxa"/>
            <w:tcBorders>
              <w:top w:val="single" w:sz="12" w:space="0" w:color="auto"/>
              <w:bottom w:val="single" w:sz="12" w:space="0" w:color="auto"/>
            </w:tcBorders>
            <w:vAlign w:val="center"/>
          </w:tcPr>
          <w:p w14:paraId="23FD3AF7" w14:textId="21E52DDB" w:rsidR="000302AB" w:rsidRPr="003A1C8E" w:rsidRDefault="000302AB" w:rsidP="00030715">
            <w:pPr>
              <w:jc w:val="center"/>
              <w:rPr>
                <w:szCs w:val="22"/>
              </w:rPr>
            </w:pPr>
            <w:r>
              <w:rPr>
                <w:szCs w:val="22"/>
              </w:rPr>
              <w:t>022</w:t>
            </w:r>
          </w:p>
        </w:tc>
        <w:tc>
          <w:tcPr>
            <w:tcW w:w="9015" w:type="dxa"/>
            <w:tcBorders>
              <w:top w:val="single" w:sz="12" w:space="0" w:color="auto"/>
              <w:bottom w:val="single" w:sz="12" w:space="0" w:color="auto"/>
            </w:tcBorders>
            <w:vAlign w:val="center"/>
          </w:tcPr>
          <w:p w14:paraId="44CBDD49" w14:textId="17DB2438" w:rsidR="000302AB" w:rsidRPr="003A1C8E" w:rsidRDefault="000302AB" w:rsidP="00030715">
            <w:r w:rsidRPr="000302AB">
              <w:rPr>
                <w:szCs w:val="22"/>
              </w:rPr>
              <w:t>Diesel Engine-driven Emergency Fire Pump (EPA Tier 3 certified)</w:t>
            </w:r>
          </w:p>
        </w:tc>
      </w:tr>
    </w:tbl>
    <w:p w14:paraId="05F56B78" w14:textId="77777777" w:rsidR="00ED6E59" w:rsidRPr="00C20EEA" w:rsidRDefault="000302AB" w:rsidP="008750BB">
      <w:pPr>
        <w:tabs>
          <w:tab w:val="left" w:pos="1440"/>
        </w:tabs>
        <w:spacing w:before="120" w:after="120"/>
        <w:rPr>
          <w:color w:val="000000"/>
        </w:rPr>
      </w:pPr>
      <w:bookmarkStart w:id="239" w:name="_Hlk520707649"/>
      <w:r w:rsidRPr="00C20EEA">
        <w:rPr>
          <w:color w:val="000000"/>
        </w:rPr>
        <w:t xml:space="preserve">This emissions unit is a diesel engine-driven </w:t>
      </w:r>
      <w:r w:rsidR="008750BB" w:rsidRPr="00C20EEA">
        <w:rPr>
          <w:color w:val="000000"/>
        </w:rPr>
        <w:t>emergency fire pump that services Martin Unit 8.</w:t>
      </w:r>
      <w:r w:rsidR="00FC74EA" w:rsidRPr="00C20EEA">
        <w:rPr>
          <w:color w:val="000000"/>
        </w:rPr>
        <w:t xml:space="preserve">  </w:t>
      </w:r>
      <w:bookmarkStart w:id="240" w:name="_Hlk520722712"/>
      <w:r w:rsidR="00FC74EA" w:rsidRPr="00C20EEA">
        <w:rPr>
          <w:color w:val="000000"/>
        </w:rPr>
        <w:t xml:space="preserve">Exhaust gas exits a stack </w:t>
      </w:r>
      <w:r w:rsidR="00ED6E59" w:rsidRPr="00C20EEA">
        <w:rPr>
          <w:color w:val="000000"/>
        </w:rPr>
        <w:t>that is 6 ft high and 0.33 ft in diameter.</w:t>
      </w:r>
      <w:bookmarkEnd w:id="240"/>
    </w:p>
    <w:p w14:paraId="4DD3A9AA" w14:textId="34948916" w:rsidR="008750BB" w:rsidRPr="00C20EEA" w:rsidRDefault="008750BB" w:rsidP="008750BB">
      <w:pPr>
        <w:tabs>
          <w:tab w:val="left" w:pos="1440"/>
        </w:tabs>
        <w:spacing w:before="120" w:after="120"/>
        <w:rPr>
          <w:color w:val="000000"/>
        </w:rPr>
      </w:pPr>
      <w:r w:rsidRPr="00C20EEA">
        <w:rPr>
          <w:color w:val="000000"/>
        </w:rPr>
        <w:t>The following table provides important details for this emissions unit:</w:t>
      </w:r>
    </w:p>
    <w:tbl>
      <w:tblPr>
        <w:tblW w:w="999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10"/>
        <w:gridCol w:w="900"/>
        <w:gridCol w:w="1530"/>
        <w:gridCol w:w="900"/>
        <w:gridCol w:w="1080"/>
        <w:gridCol w:w="1260"/>
        <w:gridCol w:w="1530"/>
        <w:gridCol w:w="1980"/>
      </w:tblGrid>
      <w:tr w:rsidR="008750BB" w:rsidRPr="008750BB" w14:paraId="5677BADC" w14:textId="77777777" w:rsidTr="00A2195C">
        <w:trPr>
          <w:trHeight w:val="489"/>
        </w:trPr>
        <w:tc>
          <w:tcPr>
            <w:tcW w:w="81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4070621" w14:textId="77777777" w:rsidR="008750BB" w:rsidRPr="008750BB" w:rsidRDefault="008750BB" w:rsidP="008750BB">
            <w:pPr>
              <w:tabs>
                <w:tab w:val="left" w:pos="1440"/>
              </w:tabs>
              <w:spacing w:before="120"/>
              <w:rPr>
                <w:b/>
                <w:color w:val="000000"/>
              </w:rPr>
            </w:pPr>
            <w:r w:rsidRPr="008750BB">
              <w:rPr>
                <w:b/>
                <w:color w:val="000000"/>
              </w:rPr>
              <w:t>E.U. ID No.</w:t>
            </w:r>
          </w:p>
        </w:tc>
        <w:tc>
          <w:tcPr>
            <w:tcW w:w="90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C82D4BE" w14:textId="77777777" w:rsidR="008750BB" w:rsidRPr="008750BB" w:rsidRDefault="008750BB" w:rsidP="008750BB">
            <w:pPr>
              <w:tabs>
                <w:tab w:val="left" w:pos="1440"/>
              </w:tabs>
              <w:spacing w:before="120"/>
              <w:rPr>
                <w:color w:val="000000"/>
              </w:rPr>
            </w:pPr>
            <w:r w:rsidRPr="008750BB">
              <w:rPr>
                <w:b/>
                <w:color w:val="000000"/>
              </w:rPr>
              <w:t>Engine Brake HP</w:t>
            </w:r>
          </w:p>
        </w:tc>
        <w:tc>
          <w:tcPr>
            <w:tcW w:w="153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2282BB4" w14:textId="77777777" w:rsidR="008750BB" w:rsidRPr="008750BB" w:rsidRDefault="008750BB" w:rsidP="008750BB">
            <w:pPr>
              <w:tabs>
                <w:tab w:val="left" w:pos="1440"/>
              </w:tabs>
              <w:spacing w:before="120"/>
              <w:rPr>
                <w:color w:val="000000"/>
              </w:rPr>
            </w:pPr>
            <w:r w:rsidRPr="008750BB">
              <w:rPr>
                <w:b/>
                <w:color w:val="000000"/>
              </w:rPr>
              <w:t>Date of Construction</w:t>
            </w:r>
          </w:p>
        </w:tc>
        <w:tc>
          <w:tcPr>
            <w:tcW w:w="90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A217873" w14:textId="77777777" w:rsidR="008750BB" w:rsidRPr="008750BB" w:rsidRDefault="008750BB" w:rsidP="008750BB">
            <w:pPr>
              <w:tabs>
                <w:tab w:val="left" w:pos="1440"/>
              </w:tabs>
              <w:spacing w:before="120"/>
              <w:rPr>
                <w:b/>
                <w:color w:val="000000"/>
              </w:rPr>
            </w:pPr>
            <w:r w:rsidRPr="008750BB">
              <w:rPr>
                <w:b/>
                <w:color w:val="000000"/>
              </w:rPr>
              <w:t>Model Year</w:t>
            </w:r>
          </w:p>
        </w:tc>
        <w:tc>
          <w:tcPr>
            <w:tcW w:w="108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116A85F" w14:textId="77777777" w:rsidR="008750BB" w:rsidRPr="008750BB" w:rsidRDefault="008750BB" w:rsidP="008750BB">
            <w:pPr>
              <w:tabs>
                <w:tab w:val="left" w:pos="1440"/>
              </w:tabs>
              <w:spacing w:before="120"/>
              <w:rPr>
                <w:color w:val="000000"/>
              </w:rPr>
            </w:pPr>
            <w:r w:rsidRPr="008750BB">
              <w:rPr>
                <w:b/>
                <w:color w:val="000000"/>
              </w:rPr>
              <w:t>Primary Fuel</w:t>
            </w:r>
          </w:p>
        </w:tc>
        <w:tc>
          <w:tcPr>
            <w:tcW w:w="126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D46211F" w14:textId="77777777" w:rsidR="008750BB" w:rsidRPr="008750BB" w:rsidRDefault="008750BB" w:rsidP="008750BB">
            <w:pPr>
              <w:tabs>
                <w:tab w:val="left" w:pos="1440"/>
              </w:tabs>
              <w:spacing w:before="120"/>
              <w:rPr>
                <w:b/>
                <w:color w:val="000000"/>
              </w:rPr>
            </w:pPr>
            <w:r w:rsidRPr="008750BB">
              <w:rPr>
                <w:b/>
                <w:color w:val="000000"/>
              </w:rPr>
              <w:t>Type of Engine</w:t>
            </w:r>
          </w:p>
        </w:tc>
        <w:tc>
          <w:tcPr>
            <w:tcW w:w="153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6718F96" w14:textId="77777777" w:rsidR="008750BB" w:rsidRPr="008750BB" w:rsidRDefault="008750BB" w:rsidP="008750BB">
            <w:pPr>
              <w:tabs>
                <w:tab w:val="left" w:pos="1440"/>
              </w:tabs>
              <w:spacing w:before="120"/>
              <w:rPr>
                <w:color w:val="000000"/>
              </w:rPr>
            </w:pPr>
            <w:r w:rsidRPr="008750BB">
              <w:rPr>
                <w:b/>
                <w:color w:val="000000"/>
              </w:rPr>
              <w:t>Displacement liters/cylinder (l/c)</w:t>
            </w:r>
          </w:p>
        </w:tc>
        <w:tc>
          <w:tcPr>
            <w:tcW w:w="19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D9E217F" w14:textId="77777777" w:rsidR="008750BB" w:rsidRPr="008750BB" w:rsidRDefault="008750BB" w:rsidP="008750BB">
            <w:pPr>
              <w:tabs>
                <w:tab w:val="left" w:pos="1440"/>
              </w:tabs>
              <w:spacing w:before="120"/>
              <w:rPr>
                <w:b/>
                <w:color w:val="000000"/>
              </w:rPr>
            </w:pPr>
            <w:r w:rsidRPr="008750BB">
              <w:rPr>
                <w:b/>
                <w:color w:val="000000"/>
              </w:rPr>
              <w:t>Manufacturer</w:t>
            </w:r>
          </w:p>
        </w:tc>
      </w:tr>
      <w:tr w:rsidR="008750BB" w:rsidRPr="008750BB" w14:paraId="10127EF8" w14:textId="77777777" w:rsidTr="00A2195C">
        <w:trPr>
          <w:trHeight w:val="305"/>
        </w:trPr>
        <w:tc>
          <w:tcPr>
            <w:tcW w:w="810"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4A486CD4" w14:textId="77777777" w:rsidR="008750BB" w:rsidRPr="008750BB" w:rsidRDefault="008750BB" w:rsidP="008750BB">
            <w:pPr>
              <w:tabs>
                <w:tab w:val="left" w:pos="1440"/>
              </w:tabs>
              <w:spacing w:before="120"/>
              <w:rPr>
                <w:b/>
                <w:color w:val="000000"/>
              </w:rPr>
            </w:pPr>
          </w:p>
        </w:tc>
        <w:tc>
          <w:tcPr>
            <w:tcW w:w="900"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5783D1DD" w14:textId="77777777" w:rsidR="008750BB" w:rsidRPr="008750BB" w:rsidRDefault="008750BB" w:rsidP="008750BB">
            <w:pPr>
              <w:tabs>
                <w:tab w:val="left" w:pos="1440"/>
              </w:tabs>
              <w:spacing w:before="120"/>
              <w:rPr>
                <w:color w:val="000000"/>
              </w:rPr>
            </w:pPr>
          </w:p>
        </w:tc>
        <w:tc>
          <w:tcPr>
            <w:tcW w:w="1530"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7716E4BF" w14:textId="77777777" w:rsidR="008750BB" w:rsidRPr="008750BB" w:rsidRDefault="008750BB" w:rsidP="008750BB">
            <w:pPr>
              <w:tabs>
                <w:tab w:val="left" w:pos="1440"/>
              </w:tabs>
              <w:spacing w:before="120"/>
              <w:rPr>
                <w:color w:val="000000"/>
              </w:rPr>
            </w:pPr>
          </w:p>
        </w:tc>
        <w:tc>
          <w:tcPr>
            <w:tcW w:w="900"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44526EF2" w14:textId="77777777" w:rsidR="008750BB" w:rsidRPr="008750BB" w:rsidRDefault="008750BB" w:rsidP="008750BB">
            <w:pPr>
              <w:tabs>
                <w:tab w:val="left" w:pos="1440"/>
              </w:tabs>
              <w:spacing w:before="120"/>
              <w:rPr>
                <w:b/>
                <w:color w:val="000000"/>
              </w:rPr>
            </w:pPr>
          </w:p>
        </w:tc>
        <w:tc>
          <w:tcPr>
            <w:tcW w:w="1080"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2977019F" w14:textId="77777777" w:rsidR="008750BB" w:rsidRPr="008750BB" w:rsidRDefault="008750BB" w:rsidP="008750BB">
            <w:pPr>
              <w:tabs>
                <w:tab w:val="left" w:pos="1440"/>
              </w:tabs>
              <w:spacing w:before="120"/>
              <w:rPr>
                <w:color w:val="000000"/>
              </w:rPr>
            </w:pPr>
          </w:p>
        </w:tc>
        <w:tc>
          <w:tcPr>
            <w:tcW w:w="1260"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55860415" w14:textId="77777777" w:rsidR="008750BB" w:rsidRPr="008750BB" w:rsidRDefault="008750BB" w:rsidP="008750BB">
            <w:pPr>
              <w:tabs>
                <w:tab w:val="left" w:pos="1440"/>
              </w:tabs>
              <w:spacing w:before="120"/>
              <w:rPr>
                <w:b/>
                <w:color w:val="000000"/>
              </w:rPr>
            </w:pPr>
          </w:p>
        </w:tc>
        <w:tc>
          <w:tcPr>
            <w:tcW w:w="1530"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115772DF" w14:textId="77777777" w:rsidR="008750BB" w:rsidRPr="008750BB" w:rsidRDefault="008750BB" w:rsidP="008750BB">
            <w:pPr>
              <w:tabs>
                <w:tab w:val="left" w:pos="1440"/>
              </w:tabs>
              <w:spacing w:before="120"/>
              <w:rPr>
                <w:color w:val="000000"/>
              </w:rPr>
            </w:pPr>
          </w:p>
        </w:tc>
        <w:tc>
          <w:tcPr>
            <w:tcW w:w="19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DE954C" w14:textId="77777777" w:rsidR="008750BB" w:rsidRPr="008750BB" w:rsidRDefault="008750BB" w:rsidP="008750BB">
            <w:pPr>
              <w:tabs>
                <w:tab w:val="left" w:pos="1440"/>
              </w:tabs>
              <w:spacing w:before="120"/>
              <w:rPr>
                <w:b/>
                <w:color w:val="000000"/>
              </w:rPr>
            </w:pPr>
            <w:r w:rsidRPr="008750BB">
              <w:rPr>
                <w:b/>
                <w:color w:val="000000"/>
              </w:rPr>
              <w:t>Model #</w:t>
            </w:r>
          </w:p>
        </w:tc>
      </w:tr>
      <w:tr w:rsidR="008750BB" w:rsidRPr="008750BB" w14:paraId="39FC6128" w14:textId="77777777" w:rsidTr="00A2195C">
        <w:trPr>
          <w:trHeight w:val="332"/>
        </w:trPr>
        <w:tc>
          <w:tcPr>
            <w:tcW w:w="810"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09DBB53" w14:textId="77777777" w:rsidR="008750BB" w:rsidRPr="008750BB" w:rsidRDefault="008750BB" w:rsidP="008750BB">
            <w:pPr>
              <w:tabs>
                <w:tab w:val="left" w:pos="1440"/>
              </w:tabs>
              <w:spacing w:before="120"/>
              <w:rPr>
                <w:b/>
                <w:color w:val="000000"/>
              </w:rPr>
            </w:pPr>
          </w:p>
        </w:tc>
        <w:tc>
          <w:tcPr>
            <w:tcW w:w="900"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2E2820B7" w14:textId="77777777" w:rsidR="008750BB" w:rsidRPr="008750BB" w:rsidRDefault="008750BB" w:rsidP="008750BB">
            <w:pPr>
              <w:tabs>
                <w:tab w:val="left" w:pos="1440"/>
              </w:tabs>
              <w:spacing w:before="120"/>
              <w:rPr>
                <w:color w:val="000000"/>
              </w:rPr>
            </w:pPr>
          </w:p>
        </w:tc>
        <w:tc>
          <w:tcPr>
            <w:tcW w:w="1530"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547BE3D9" w14:textId="77777777" w:rsidR="008750BB" w:rsidRPr="008750BB" w:rsidRDefault="008750BB" w:rsidP="008750BB">
            <w:pPr>
              <w:tabs>
                <w:tab w:val="left" w:pos="1440"/>
              </w:tabs>
              <w:spacing w:before="120"/>
              <w:rPr>
                <w:color w:val="000000"/>
              </w:rPr>
            </w:pPr>
          </w:p>
        </w:tc>
        <w:tc>
          <w:tcPr>
            <w:tcW w:w="900"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2FE0CDBB" w14:textId="77777777" w:rsidR="008750BB" w:rsidRPr="008750BB" w:rsidRDefault="008750BB" w:rsidP="008750BB">
            <w:pPr>
              <w:tabs>
                <w:tab w:val="left" w:pos="1440"/>
              </w:tabs>
              <w:spacing w:before="120"/>
              <w:rPr>
                <w:b/>
                <w:color w:val="000000"/>
              </w:rPr>
            </w:pPr>
          </w:p>
        </w:tc>
        <w:tc>
          <w:tcPr>
            <w:tcW w:w="1080"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5E4146DD" w14:textId="77777777" w:rsidR="008750BB" w:rsidRPr="008750BB" w:rsidRDefault="008750BB" w:rsidP="008750BB">
            <w:pPr>
              <w:tabs>
                <w:tab w:val="left" w:pos="1440"/>
              </w:tabs>
              <w:spacing w:before="120"/>
              <w:rPr>
                <w:color w:val="000000"/>
              </w:rPr>
            </w:pPr>
          </w:p>
        </w:tc>
        <w:tc>
          <w:tcPr>
            <w:tcW w:w="1260"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09487484" w14:textId="77777777" w:rsidR="008750BB" w:rsidRPr="008750BB" w:rsidRDefault="008750BB" w:rsidP="008750BB">
            <w:pPr>
              <w:tabs>
                <w:tab w:val="left" w:pos="1440"/>
              </w:tabs>
              <w:spacing w:before="120"/>
              <w:rPr>
                <w:b/>
                <w:color w:val="000000"/>
              </w:rPr>
            </w:pPr>
          </w:p>
        </w:tc>
        <w:tc>
          <w:tcPr>
            <w:tcW w:w="1530"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BAA9278" w14:textId="77777777" w:rsidR="008750BB" w:rsidRPr="008750BB" w:rsidRDefault="008750BB" w:rsidP="008750BB">
            <w:pPr>
              <w:tabs>
                <w:tab w:val="left" w:pos="1440"/>
              </w:tabs>
              <w:spacing w:before="120"/>
              <w:rPr>
                <w:color w:val="000000"/>
              </w:rPr>
            </w:pPr>
          </w:p>
        </w:tc>
        <w:tc>
          <w:tcPr>
            <w:tcW w:w="19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9C1C702" w14:textId="77777777" w:rsidR="008750BB" w:rsidRPr="008750BB" w:rsidRDefault="008750BB" w:rsidP="008750BB">
            <w:pPr>
              <w:tabs>
                <w:tab w:val="left" w:pos="1440"/>
              </w:tabs>
              <w:spacing w:before="120"/>
              <w:rPr>
                <w:b/>
                <w:color w:val="000000"/>
              </w:rPr>
            </w:pPr>
            <w:r w:rsidRPr="008750BB">
              <w:rPr>
                <w:b/>
                <w:color w:val="000000"/>
              </w:rPr>
              <w:t>Engine Serial #</w:t>
            </w:r>
          </w:p>
        </w:tc>
      </w:tr>
      <w:tr w:rsidR="008750BB" w:rsidRPr="008750BB" w14:paraId="55E27374" w14:textId="77777777" w:rsidTr="008750BB">
        <w:trPr>
          <w:trHeight w:val="96"/>
        </w:trPr>
        <w:tc>
          <w:tcPr>
            <w:tcW w:w="810" w:type="dxa"/>
            <w:vMerge w:val="restart"/>
            <w:tcBorders>
              <w:top w:val="single" w:sz="4" w:space="0" w:color="auto"/>
              <w:left w:val="single" w:sz="4" w:space="0" w:color="auto"/>
              <w:bottom w:val="single" w:sz="4" w:space="0" w:color="auto"/>
              <w:right w:val="single" w:sz="4" w:space="0" w:color="auto"/>
            </w:tcBorders>
            <w:vAlign w:val="center"/>
            <w:hideMark/>
          </w:tcPr>
          <w:p w14:paraId="222815AC" w14:textId="77777777" w:rsidR="008750BB" w:rsidRPr="008750BB" w:rsidRDefault="008750BB" w:rsidP="008750BB">
            <w:pPr>
              <w:tabs>
                <w:tab w:val="left" w:pos="1440"/>
              </w:tabs>
              <w:spacing w:before="120"/>
              <w:rPr>
                <w:color w:val="000000"/>
              </w:rPr>
            </w:pPr>
            <w:r w:rsidRPr="008750BB">
              <w:rPr>
                <w:color w:val="000000"/>
              </w:rPr>
              <w:t>022</w:t>
            </w:r>
          </w:p>
        </w:tc>
        <w:tc>
          <w:tcPr>
            <w:tcW w:w="900" w:type="dxa"/>
            <w:vMerge w:val="restart"/>
            <w:tcBorders>
              <w:top w:val="single" w:sz="4" w:space="0" w:color="auto"/>
              <w:left w:val="single" w:sz="4" w:space="0" w:color="auto"/>
              <w:bottom w:val="single" w:sz="4" w:space="0" w:color="auto"/>
              <w:right w:val="single" w:sz="4" w:space="0" w:color="auto"/>
            </w:tcBorders>
            <w:vAlign w:val="center"/>
            <w:hideMark/>
          </w:tcPr>
          <w:p w14:paraId="76D42EAA" w14:textId="77777777" w:rsidR="008750BB" w:rsidRPr="008750BB" w:rsidRDefault="008750BB" w:rsidP="008750BB">
            <w:pPr>
              <w:tabs>
                <w:tab w:val="left" w:pos="1440"/>
              </w:tabs>
              <w:spacing w:before="120"/>
              <w:rPr>
                <w:color w:val="000000"/>
              </w:rPr>
            </w:pPr>
            <w:r w:rsidRPr="008750BB">
              <w:rPr>
                <w:color w:val="000000"/>
              </w:rPr>
              <w:t>197</w:t>
            </w:r>
          </w:p>
        </w:tc>
        <w:tc>
          <w:tcPr>
            <w:tcW w:w="1530" w:type="dxa"/>
            <w:vMerge w:val="restart"/>
            <w:tcBorders>
              <w:top w:val="single" w:sz="4" w:space="0" w:color="auto"/>
              <w:left w:val="single" w:sz="4" w:space="0" w:color="auto"/>
              <w:bottom w:val="single" w:sz="4" w:space="0" w:color="auto"/>
              <w:right w:val="single" w:sz="4" w:space="0" w:color="auto"/>
            </w:tcBorders>
            <w:vAlign w:val="center"/>
            <w:hideMark/>
          </w:tcPr>
          <w:p w14:paraId="450F1F07" w14:textId="77777777" w:rsidR="008750BB" w:rsidRPr="008750BB" w:rsidRDefault="008750BB" w:rsidP="008750BB">
            <w:pPr>
              <w:tabs>
                <w:tab w:val="left" w:pos="1440"/>
              </w:tabs>
              <w:spacing w:before="120"/>
              <w:rPr>
                <w:color w:val="000000"/>
              </w:rPr>
            </w:pPr>
            <w:r w:rsidRPr="008750BB">
              <w:rPr>
                <w:color w:val="000000"/>
              </w:rPr>
              <w:t>2015</w:t>
            </w:r>
          </w:p>
        </w:tc>
        <w:tc>
          <w:tcPr>
            <w:tcW w:w="900" w:type="dxa"/>
            <w:vMerge w:val="restart"/>
            <w:tcBorders>
              <w:top w:val="single" w:sz="4" w:space="0" w:color="auto"/>
              <w:left w:val="single" w:sz="4" w:space="0" w:color="auto"/>
              <w:bottom w:val="single" w:sz="4" w:space="0" w:color="auto"/>
              <w:right w:val="single" w:sz="4" w:space="0" w:color="auto"/>
            </w:tcBorders>
            <w:vAlign w:val="center"/>
            <w:hideMark/>
          </w:tcPr>
          <w:p w14:paraId="70261F57" w14:textId="77777777" w:rsidR="008750BB" w:rsidRPr="008750BB" w:rsidRDefault="008750BB" w:rsidP="008750BB">
            <w:pPr>
              <w:tabs>
                <w:tab w:val="left" w:pos="1440"/>
              </w:tabs>
              <w:spacing w:before="120"/>
              <w:rPr>
                <w:color w:val="000000"/>
              </w:rPr>
            </w:pPr>
            <w:r w:rsidRPr="008750BB">
              <w:rPr>
                <w:color w:val="000000"/>
              </w:rPr>
              <w:t>2015</w:t>
            </w:r>
          </w:p>
        </w:tc>
        <w:tc>
          <w:tcPr>
            <w:tcW w:w="1080" w:type="dxa"/>
            <w:vMerge w:val="restart"/>
            <w:tcBorders>
              <w:top w:val="single" w:sz="4" w:space="0" w:color="auto"/>
              <w:left w:val="single" w:sz="4" w:space="0" w:color="auto"/>
              <w:bottom w:val="single" w:sz="4" w:space="0" w:color="auto"/>
              <w:right w:val="single" w:sz="4" w:space="0" w:color="auto"/>
            </w:tcBorders>
            <w:vAlign w:val="center"/>
            <w:hideMark/>
          </w:tcPr>
          <w:p w14:paraId="018D379B" w14:textId="77777777" w:rsidR="008750BB" w:rsidRPr="008750BB" w:rsidRDefault="008750BB" w:rsidP="008750BB">
            <w:pPr>
              <w:tabs>
                <w:tab w:val="left" w:pos="1440"/>
              </w:tabs>
              <w:spacing w:before="120"/>
              <w:rPr>
                <w:color w:val="000000"/>
              </w:rPr>
            </w:pPr>
            <w:r w:rsidRPr="008750BB">
              <w:rPr>
                <w:color w:val="000000"/>
              </w:rPr>
              <w:t>Diesel</w:t>
            </w:r>
          </w:p>
        </w:tc>
        <w:tc>
          <w:tcPr>
            <w:tcW w:w="1260" w:type="dxa"/>
            <w:vMerge w:val="restart"/>
            <w:tcBorders>
              <w:top w:val="single" w:sz="4" w:space="0" w:color="auto"/>
              <w:left w:val="single" w:sz="4" w:space="0" w:color="auto"/>
              <w:bottom w:val="single" w:sz="4" w:space="0" w:color="auto"/>
              <w:right w:val="single" w:sz="4" w:space="0" w:color="auto"/>
            </w:tcBorders>
            <w:vAlign w:val="center"/>
            <w:hideMark/>
          </w:tcPr>
          <w:p w14:paraId="219AF779" w14:textId="77777777" w:rsidR="008750BB" w:rsidRPr="008750BB" w:rsidRDefault="008750BB" w:rsidP="008750BB">
            <w:pPr>
              <w:tabs>
                <w:tab w:val="left" w:pos="1440"/>
              </w:tabs>
              <w:spacing w:before="120"/>
              <w:rPr>
                <w:color w:val="000000"/>
              </w:rPr>
            </w:pPr>
            <w:r w:rsidRPr="008750BB">
              <w:rPr>
                <w:color w:val="000000"/>
              </w:rPr>
              <w:t>Emergency</w:t>
            </w:r>
          </w:p>
        </w:tc>
        <w:tc>
          <w:tcPr>
            <w:tcW w:w="1530" w:type="dxa"/>
            <w:vMerge w:val="restart"/>
            <w:tcBorders>
              <w:top w:val="single" w:sz="4" w:space="0" w:color="auto"/>
              <w:left w:val="single" w:sz="4" w:space="0" w:color="auto"/>
              <w:bottom w:val="single" w:sz="4" w:space="0" w:color="auto"/>
              <w:right w:val="single" w:sz="4" w:space="0" w:color="auto"/>
            </w:tcBorders>
            <w:vAlign w:val="center"/>
            <w:hideMark/>
          </w:tcPr>
          <w:p w14:paraId="51149F58" w14:textId="77777777" w:rsidR="008750BB" w:rsidRPr="008750BB" w:rsidRDefault="008750BB" w:rsidP="008750BB">
            <w:pPr>
              <w:tabs>
                <w:tab w:val="left" w:pos="1440"/>
              </w:tabs>
              <w:spacing w:before="120"/>
              <w:rPr>
                <w:color w:val="000000"/>
              </w:rPr>
            </w:pPr>
            <w:r w:rsidRPr="008750BB">
              <w:rPr>
                <w:color w:val="000000"/>
              </w:rPr>
              <w:t>1.13</w:t>
            </w:r>
          </w:p>
        </w:tc>
        <w:tc>
          <w:tcPr>
            <w:tcW w:w="1980" w:type="dxa"/>
            <w:tcBorders>
              <w:top w:val="single" w:sz="4" w:space="0" w:color="auto"/>
              <w:left w:val="single" w:sz="4" w:space="0" w:color="auto"/>
              <w:bottom w:val="single" w:sz="4" w:space="0" w:color="auto"/>
              <w:right w:val="single" w:sz="4" w:space="0" w:color="auto"/>
            </w:tcBorders>
            <w:vAlign w:val="center"/>
            <w:hideMark/>
          </w:tcPr>
          <w:p w14:paraId="1F31D5C4" w14:textId="77777777" w:rsidR="008750BB" w:rsidRPr="008750BB" w:rsidRDefault="008750BB" w:rsidP="008750BB">
            <w:pPr>
              <w:tabs>
                <w:tab w:val="left" w:pos="1440"/>
              </w:tabs>
              <w:spacing w:before="120"/>
              <w:rPr>
                <w:color w:val="000000"/>
              </w:rPr>
            </w:pPr>
            <w:r w:rsidRPr="008750BB">
              <w:rPr>
                <w:color w:val="000000"/>
              </w:rPr>
              <w:t>John Deere®</w:t>
            </w:r>
          </w:p>
        </w:tc>
      </w:tr>
      <w:tr w:rsidR="008750BB" w:rsidRPr="008750BB" w14:paraId="15F03B86" w14:textId="77777777" w:rsidTr="008750BB">
        <w:trPr>
          <w:trHeight w:val="129"/>
        </w:trPr>
        <w:tc>
          <w:tcPr>
            <w:tcW w:w="810" w:type="dxa"/>
            <w:vMerge/>
            <w:tcBorders>
              <w:top w:val="single" w:sz="4" w:space="0" w:color="auto"/>
              <w:left w:val="single" w:sz="4" w:space="0" w:color="auto"/>
              <w:bottom w:val="single" w:sz="4" w:space="0" w:color="auto"/>
              <w:right w:val="single" w:sz="4" w:space="0" w:color="auto"/>
            </w:tcBorders>
            <w:vAlign w:val="center"/>
            <w:hideMark/>
          </w:tcPr>
          <w:p w14:paraId="6B740C45" w14:textId="77777777" w:rsidR="008750BB" w:rsidRPr="008750BB" w:rsidRDefault="008750BB" w:rsidP="008750BB">
            <w:pPr>
              <w:tabs>
                <w:tab w:val="left" w:pos="1440"/>
              </w:tabs>
              <w:spacing w:before="120"/>
              <w:rPr>
                <w:color w:val="000000"/>
              </w:rPr>
            </w:pPr>
          </w:p>
        </w:tc>
        <w:tc>
          <w:tcPr>
            <w:tcW w:w="900" w:type="dxa"/>
            <w:vMerge/>
            <w:tcBorders>
              <w:top w:val="single" w:sz="4" w:space="0" w:color="auto"/>
              <w:left w:val="single" w:sz="4" w:space="0" w:color="auto"/>
              <w:bottom w:val="single" w:sz="4" w:space="0" w:color="auto"/>
              <w:right w:val="single" w:sz="4" w:space="0" w:color="auto"/>
            </w:tcBorders>
            <w:vAlign w:val="center"/>
            <w:hideMark/>
          </w:tcPr>
          <w:p w14:paraId="5E0798D1" w14:textId="77777777" w:rsidR="008750BB" w:rsidRPr="008750BB" w:rsidRDefault="008750BB" w:rsidP="008750BB">
            <w:pPr>
              <w:tabs>
                <w:tab w:val="left" w:pos="1440"/>
              </w:tabs>
              <w:spacing w:before="120"/>
              <w:rPr>
                <w:color w:val="000000"/>
              </w:rPr>
            </w:pPr>
          </w:p>
        </w:tc>
        <w:tc>
          <w:tcPr>
            <w:tcW w:w="1530" w:type="dxa"/>
            <w:vMerge/>
            <w:tcBorders>
              <w:top w:val="single" w:sz="4" w:space="0" w:color="auto"/>
              <w:left w:val="single" w:sz="4" w:space="0" w:color="auto"/>
              <w:bottom w:val="single" w:sz="4" w:space="0" w:color="auto"/>
              <w:right w:val="single" w:sz="4" w:space="0" w:color="auto"/>
            </w:tcBorders>
            <w:vAlign w:val="center"/>
            <w:hideMark/>
          </w:tcPr>
          <w:p w14:paraId="647E7D8A" w14:textId="77777777" w:rsidR="008750BB" w:rsidRPr="008750BB" w:rsidRDefault="008750BB" w:rsidP="008750BB">
            <w:pPr>
              <w:tabs>
                <w:tab w:val="left" w:pos="1440"/>
              </w:tabs>
              <w:spacing w:before="120"/>
              <w:rPr>
                <w:color w:val="000000"/>
              </w:rPr>
            </w:pPr>
          </w:p>
        </w:tc>
        <w:tc>
          <w:tcPr>
            <w:tcW w:w="900" w:type="dxa"/>
            <w:vMerge/>
            <w:tcBorders>
              <w:top w:val="single" w:sz="4" w:space="0" w:color="auto"/>
              <w:left w:val="single" w:sz="4" w:space="0" w:color="auto"/>
              <w:bottom w:val="single" w:sz="4" w:space="0" w:color="auto"/>
              <w:right w:val="single" w:sz="4" w:space="0" w:color="auto"/>
            </w:tcBorders>
            <w:vAlign w:val="center"/>
            <w:hideMark/>
          </w:tcPr>
          <w:p w14:paraId="63A2FB63" w14:textId="77777777" w:rsidR="008750BB" w:rsidRPr="008750BB" w:rsidRDefault="008750BB" w:rsidP="008750BB">
            <w:pPr>
              <w:tabs>
                <w:tab w:val="left" w:pos="1440"/>
              </w:tabs>
              <w:spacing w:before="120"/>
              <w:rPr>
                <w:color w:val="000000"/>
              </w:rPr>
            </w:pPr>
          </w:p>
        </w:tc>
        <w:tc>
          <w:tcPr>
            <w:tcW w:w="1080" w:type="dxa"/>
            <w:vMerge/>
            <w:tcBorders>
              <w:top w:val="single" w:sz="4" w:space="0" w:color="auto"/>
              <w:left w:val="single" w:sz="4" w:space="0" w:color="auto"/>
              <w:bottom w:val="single" w:sz="4" w:space="0" w:color="auto"/>
              <w:right w:val="single" w:sz="4" w:space="0" w:color="auto"/>
            </w:tcBorders>
            <w:vAlign w:val="center"/>
            <w:hideMark/>
          </w:tcPr>
          <w:p w14:paraId="7E92E026" w14:textId="77777777" w:rsidR="008750BB" w:rsidRPr="008750BB" w:rsidRDefault="008750BB" w:rsidP="008750BB">
            <w:pPr>
              <w:tabs>
                <w:tab w:val="left" w:pos="1440"/>
              </w:tabs>
              <w:spacing w:before="120"/>
              <w:rPr>
                <w:color w:val="000000"/>
              </w:rPr>
            </w:pPr>
          </w:p>
        </w:tc>
        <w:tc>
          <w:tcPr>
            <w:tcW w:w="1260" w:type="dxa"/>
            <w:vMerge/>
            <w:tcBorders>
              <w:top w:val="single" w:sz="4" w:space="0" w:color="auto"/>
              <w:left w:val="single" w:sz="4" w:space="0" w:color="auto"/>
              <w:bottom w:val="single" w:sz="4" w:space="0" w:color="auto"/>
              <w:right w:val="single" w:sz="4" w:space="0" w:color="auto"/>
            </w:tcBorders>
            <w:vAlign w:val="center"/>
            <w:hideMark/>
          </w:tcPr>
          <w:p w14:paraId="63AE142E" w14:textId="77777777" w:rsidR="008750BB" w:rsidRPr="008750BB" w:rsidRDefault="008750BB" w:rsidP="008750BB">
            <w:pPr>
              <w:tabs>
                <w:tab w:val="left" w:pos="1440"/>
              </w:tabs>
              <w:spacing w:before="120"/>
              <w:rPr>
                <w:color w:val="000000"/>
              </w:rPr>
            </w:pPr>
          </w:p>
        </w:tc>
        <w:tc>
          <w:tcPr>
            <w:tcW w:w="1530" w:type="dxa"/>
            <w:vMerge/>
            <w:tcBorders>
              <w:top w:val="single" w:sz="4" w:space="0" w:color="auto"/>
              <w:left w:val="single" w:sz="4" w:space="0" w:color="auto"/>
              <w:bottom w:val="single" w:sz="4" w:space="0" w:color="auto"/>
              <w:right w:val="single" w:sz="4" w:space="0" w:color="auto"/>
            </w:tcBorders>
            <w:vAlign w:val="center"/>
            <w:hideMark/>
          </w:tcPr>
          <w:p w14:paraId="284904A6" w14:textId="77777777" w:rsidR="008750BB" w:rsidRPr="008750BB" w:rsidRDefault="008750BB" w:rsidP="008750BB">
            <w:pPr>
              <w:tabs>
                <w:tab w:val="left" w:pos="1440"/>
              </w:tabs>
              <w:spacing w:before="120"/>
              <w:rPr>
                <w:color w:val="000000"/>
              </w:rPr>
            </w:pPr>
          </w:p>
        </w:tc>
        <w:tc>
          <w:tcPr>
            <w:tcW w:w="1980" w:type="dxa"/>
            <w:tcBorders>
              <w:top w:val="single" w:sz="4" w:space="0" w:color="auto"/>
              <w:left w:val="single" w:sz="4" w:space="0" w:color="auto"/>
              <w:bottom w:val="single" w:sz="4" w:space="0" w:color="auto"/>
              <w:right w:val="single" w:sz="4" w:space="0" w:color="auto"/>
            </w:tcBorders>
            <w:vAlign w:val="center"/>
            <w:hideMark/>
          </w:tcPr>
          <w:p w14:paraId="14442947" w14:textId="77777777" w:rsidR="008750BB" w:rsidRPr="008750BB" w:rsidRDefault="008750BB" w:rsidP="008750BB">
            <w:pPr>
              <w:tabs>
                <w:tab w:val="left" w:pos="1440"/>
              </w:tabs>
              <w:spacing w:before="120"/>
              <w:rPr>
                <w:color w:val="000000"/>
              </w:rPr>
            </w:pPr>
            <w:r w:rsidRPr="008750BB">
              <w:rPr>
                <w:color w:val="000000"/>
              </w:rPr>
              <w:t>JU6H-UFADN0</w:t>
            </w:r>
          </w:p>
        </w:tc>
      </w:tr>
      <w:tr w:rsidR="008750BB" w:rsidRPr="008750BB" w14:paraId="5A22436D" w14:textId="77777777" w:rsidTr="008750BB">
        <w:trPr>
          <w:trHeight w:val="240"/>
        </w:trPr>
        <w:tc>
          <w:tcPr>
            <w:tcW w:w="810" w:type="dxa"/>
            <w:vMerge/>
            <w:tcBorders>
              <w:top w:val="single" w:sz="4" w:space="0" w:color="auto"/>
              <w:left w:val="single" w:sz="4" w:space="0" w:color="auto"/>
              <w:bottom w:val="single" w:sz="4" w:space="0" w:color="auto"/>
              <w:right w:val="single" w:sz="4" w:space="0" w:color="auto"/>
            </w:tcBorders>
            <w:vAlign w:val="center"/>
            <w:hideMark/>
          </w:tcPr>
          <w:p w14:paraId="3C283608" w14:textId="77777777" w:rsidR="008750BB" w:rsidRPr="008750BB" w:rsidRDefault="008750BB" w:rsidP="008750BB">
            <w:pPr>
              <w:tabs>
                <w:tab w:val="left" w:pos="1440"/>
              </w:tabs>
              <w:spacing w:before="120"/>
              <w:rPr>
                <w:color w:val="000000"/>
              </w:rPr>
            </w:pPr>
          </w:p>
        </w:tc>
        <w:tc>
          <w:tcPr>
            <w:tcW w:w="900" w:type="dxa"/>
            <w:vMerge/>
            <w:tcBorders>
              <w:top w:val="single" w:sz="4" w:space="0" w:color="auto"/>
              <w:left w:val="single" w:sz="4" w:space="0" w:color="auto"/>
              <w:bottom w:val="single" w:sz="4" w:space="0" w:color="auto"/>
              <w:right w:val="single" w:sz="4" w:space="0" w:color="auto"/>
            </w:tcBorders>
            <w:vAlign w:val="center"/>
            <w:hideMark/>
          </w:tcPr>
          <w:p w14:paraId="6DADAD24" w14:textId="77777777" w:rsidR="008750BB" w:rsidRPr="008750BB" w:rsidRDefault="008750BB" w:rsidP="008750BB">
            <w:pPr>
              <w:tabs>
                <w:tab w:val="left" w:pos="1440"/>
              </w:tabs>
              <w:spacing w:before="120"/>
              <w:rPr>
                <w:color w:val="000000"/>
              </w:rPr>
            </w:pPr>
          </w:p>
        </w:tc>
        <w:tc>
          <w:tcPr>
            <w:tcW w:w="1530" w:type="dxa"/>
            <w:vMerge/>
            <w:tcBorders>
              <w:top w:val="single" w:sz="4" w:space="0" w:color="auto"/>
              <w:left w:val="single" w:sz="4" w:space="0" w:color="auto"/>
              <w:bottom w:val="single" w:sz="4" w:space="0" w:color="auto"/>
              <w:right w:val="single" w:sz="4" w:space="0" w:color="auto"/>
            </w:tcBorders>
            <w:vAlign w:val="center"/>
            <w:hideMark/>
          </w:tcPr>
          <w:p w14:paraId="3AD82EEC" w14:textId="77777777" w:rsidR="008750BB" w:rsidRPr="008750BB" w:rsidRDefault="008750BB" w:rsidP="008750BB">
            <w:pPr>
              <w:tabs>
                <w:tab w:val="left" w:pos="1440"/>
              </w:tabs>
              <w:spacing w:before="120"/>
              <w:rPr>
                <w:color w:val="000000"/>
              </w:rPr>
            </w:pPr>
          </w:p>
        </w:tc>
        <w:tc>
          <w:tcPr>
            <w:tcW w:w="900" w:type="dxa"/>
            <w:vMerge/>
            <w:tcBorders>
              <w:top w:val="single" w:sz="4" w:space="0" w:color="auto"/>
              <w:left w:val="single" w:sz="4" w:space="0" w:color="auto"/>
              <w:bottom w:val="single" w:sz="4" w:space="0" w:color="auto"/>
              <w:right w:val="single" w:sz="4" w:space="0" w:color="auto"/>
            </w:tcBorders>
            <w:vAlign w:val="center"/>
            <w:hideMark/>
          </w:tcPr>
          <w:p w14:paraId="128CDC7E" w14:textId="77777777" w:rsidR="008750BB" w:rsidRPr="008750BB" w:rsidRDefault="008750BB" w:rsidP="008750BB">
            <w:pPr>
              <w:tabs>
                <w:tab w:val="left" w:pos="1440"/>
              </w:tabs>
              <w:spacing w:before="120"/>
              <w:rPr>
                <w:color w:val="000000"/>
              </w:rPr>
            </w:pPr>
          </w:p>
        </w:tc>
        <w:tc>
          <w:tcPr>
            <w:tcW w:w="1080" w:type="dxa"/>
            <w:vMerge/>
            <w:tcBorders>
              <w:top w:val="single" w:sz="4" w:space="0" w:color="auto"/>
              <w:left w:val="single" w:sz="4" w:space="0" w:color="auto"/>
              <w:bottom w:val="single" w:sz="4" w:space="0" w:color="auto"/>
              <w:right w:val="single" w:sz="4" w:space="0" w:color="auto"/>
            </w:tcBorders>
            <w:vAlign w:val="center"/>
            <w:hideMark/>
          </w:tcPr>
          <w:p w14:paraId="40F38F90" w14:textId="77777777" w:rsidR="008750BB" w:rsidRPr="008750BB" w:rsidRDefault="008750BB" w:rsidP="008750BB">
            <w:pPr>
              <w:tabs>
                <w:tab w:val="left" w:pos="1440"/>
              </w:tabs>
              <w:spacing w:before="120"/>
              <w:rPr>
                <w:color w:val="000000"/>
              </w:rPr>
            </w:pPr>
          </w:p>
        </w:tc>
        <w:tc>
          <w:tcPr>
            <w:tcW w:w="1260" w:type="dxa"/>
            <w:vMerge/>
            <w:tcBorders>
              <w:top w:val="single" w:sz="4" w:space="0" w:color="auto"/>
              <w:left w:val="single" w:sz="4" w:space="0" w:color="auto"/>
              <w:bottom w:val="single" w:sz="4" w:space="0" w:color="auto"/>
              <w:right w:val="single" w:sz="4" w:space="0" w:color="auto"/>
            </w:tcBorders>
            <w:vAlign w:val="center"/>
            <w:hideMark/>
          </w:tcPr>
          <w:p w14:paraId="5AD74D38" w14:textId="77777777" w:rsidR="008750BB" w:rsidRPr="008750BB" w:rsidRDefault="008750BB" w:rsidP="008750BB">
            <w:pPr>
              <w:tabs>
                <w:tab w:val="left" w:pos="1440"/>
              </w:tabs>
              <w:spacing w:before="120"/>
              <w:rPr>
                <w:color w:val="000000"/>
              </w:rPr>
            </w:pPr>
          </w:p>
        </w:tc>
        <w:tc>
          <w:tcPr>
            <w:tcW w:w="1530" w:type="dxa"/>
            <w:vMerge/>
            <w:tcBorders>
              <w:top w:val="single" w:sz="4" w:space="0" w:color="auto"/>
              <w:left w:val="single" w:sz="4" w:space="0" w:color="auto"/>
              <w:bottom w:val="single" w:sz="4" w:space="0" w:color="auto"/>
              <w:right w:val="single" w:sz="4" w:space="0" w:color="auto"/>
            </w:tcBorders>
            <w:vAlign w:val="center"/>
            <w:hideMark/>
          </w:tcPr>
          <w:p w14:paraId="10BA493E" w14:textId="77777777" w:rsidR="008750BB" w:rsidRPr="008750BB" w:rsidRDefault="008750BB" w:rsidP="008750BB">
            <w:pPr>
              <w:tabs>
                <w:tab w:val="left" w:pos="1440"/>
              </w:tabs>
              <w:spacing w:before="120"/>
              <w:rPr>
                <w:color w:val="000000"/>
              </w:rPr>
            </w:pPr>
          </w:p>
        </w:tc>
        <w:tc>
          <w:tcPr>
            <w:tcW w:w="1980" w:type="dxa"/>
            <w:tcBorders>
              <w:top w:val="single" w:sz="4" w:space="0" w:color="auto"/>
              <w:left w:val="single" w:sz="4" w:space="0" w:color="auto"/>
              <w:bottom w:val="single" w:sz="4" w:space="0" w:color="auto"/>
              <w:right w:val="single" w:sz="4" w:space="0" w:color="auto"/>
            </w:tcBorders>
            <w:vAlign w:val="center"/>
            <w:hideMark/>
          </w:tcPr>
          <w:p w14:paraId="55989894" w14:textId="77777777" w:rsidR="008750BB" w:rsidRPr="008750BB" w:rsidRDefault="008750BB" w:rsidP="008750BB">
            <w:pPr>
              <w:tabs>
                <w:tab w:val="left" w:pos="1440"/>
              </w:tabs>
              <w:spacing w:before="120"/>
              <w:rPr>
                <w:color w:val="000000"/>
              </w:rPr>
            </w:pPr>
            <w:r w:rsidRPr="008750BB">
              <w:rPr>
                <w:color w:val="000000"/>
              </w:rPr>
              <w:t>-</w:t>
            </w:r>
          </w:p>
        </w:tc>
      </w:tr>
    </w:tbl>
    <w:p w14:paraId="6FC3FEB8" w14:textId="669217BD" w:rsidR="002752DF" w:rsidRDefault="008750BB" w:rsidP="00C20EEA">
      <w:pPr>
        <w:tabs>
          <w:tab w:val="left" w:pos="1440"/>
        </w:tabs>
        <w:spacing w:before="120" w:after="120"/>
        <w:rPr>
          <w:i/>
          <w:color w:val="000000"/>
        </w:rPr>
      </w:pPr>
      <w:r w:rsidRPr="00A2195C">
        <w:rPr>
          <w:i/>
          <w:color w:val="000000"/>
        </w:rPr>
        <w:t>{</w:t>
      </w:r>
      <w:r w:rsidRPr="00C20EEA">
        <w:rPr>
          <w:i/>
          <w:color w:val="000000"/>
        </w:rPr>
        <w:t xml:space="preserve">Permitting note:  This </w:t>
      </w:r>
      <w:r w:rsidR="003B4EAA" w:rsidRPr="00C20EEA">
        <w:rPr>
          <w:i/>
          <w:color w:val="000000"/>
        </w:rPr>
        <w:t xml:space="preserve">compression ignition (CI) internal combustion engine (ICE) is regulated under: </w:t>
      </w:r>
      <w:r w:rsidR="006B16A1" w:rsidRPr="00C20EEA">
        <w:rPr>
          <w:i/>
          <w:color w:val="000000"/>
        </w:rPr>
        <w:t xml:space="preserve"> 40 CFR 60, Subpart A, General Provisions, and</w:t>
      </w:r>
      <w:r w:rsidR="003B4EAA" w:rsidRPr="00C20EEA">
        <w:rPr>
          <w:i/>
          <w:color w:val="000000"/>
        </w:rPr>
        <w:t xml:space="preserve"> 40 CFR 60, Subpart IIII, NSPS for Stationary CI ICE</w:t>
      </w:r>
      <w:r w:rsidR="006B16A1" w:rsidRPr="00C20EEA">
        <w:rPr>
          <w:i/>
          <w:color w:val="000000"/>
        </w:rPr>
        <w:t>, adopted by reference in Rule 62-204.800(8)(d)</w:t>
      </w:r>
      <w:r w:rsidR="00A2195C" w:rsidRPr="00C20EEA">
        <w:rPr>
          <w:i/>
          <w:color w:val="000000"/>
        </w:rPr>
        <w:t xml:space="preserve"> and (8)(b)82., F.A.C., respectively;</w:t>
      </w:r>
      <w:r w:rsidR="003B4EAA" w:rsidRPr="00C20EEA">
        <w:rPr>
          <w:i/>
          <w:color w:val="000000"/>
        </w:rPr>
        <w:t xml:space="preserve"> and 40 CFR 63,</w:t>
      </w:r>
      <w:r w:rsidR="00A2195C" w:rsidRPr="00C20EEA">
        <w:rPr>
          <w:i/>
          <w:color w:val="000000"/>
        </w:rPr>
        <w:t xml:space="preserve"> Subpart A, General Provisions, and 40 CFR 63,</w:t>
      </w:r>
      <w:r w:rsidR="003B4EAA" w:rsidRPr="00C20EEA">
        <w:rPr>
          <w:i/>
          <w:color w:val="000000"/>
        </w:rPr>
        <w:t xml:space="preserve"> Subpart ZZZZ, NESHAP for Stationary Reciprocating Internal Combustion Engines (RICE), adopted by reference in Rule 62-204.800</w:t>
      </w:r>
      <w:r w:rsidR="00A2195C" w:rsidRPr="00C20EEA">
        <w:rPr>
          <w:i/>
          <w:color w:val="000000"/>
        </w:rPr>
        <w:t>(11)(d) and (11)(b)82., F.A.C., respectively.  This subsection of the permit addresses a stationary CI RICE of model year 2007 or later, with a displacement of less than 10 liters per cylinder.  In accordance with the provisions of 40 CFR 63.6590(c)(1), meeting the requirements of 40 CFR 60, Subpart IIII, satisfies compliance with the requirements of 40 CFR 63, Subpart ZZZZ.</w:t>
      </w:r>
      <w:r w:rsidRPr="008750BB">
        <w:rPr>
          <w:i/>
          <w:color w:val="000000"/>
        </w:rPr>
        <w:t>}</w:t>
      </w:r>
    </w:p>
    <w:p w14:paraId="2D09C8B7" w14:textId="77777777" w:rsidR="00773CE7" w:rsidRDefault="00773CE7" w:rsidP="00773CE7">
      <w:pPr>
        <w:tabs>
          <w:tab w:val="left" w:pos="1080"/>
          <w:tab w:val="left" w:pos="1440"/>
        </w:tabs>
        <w:spacing w:after="120"/>
        <w:rPr>
          <w:u w:val="single"/>
        </w:rPr>
      </w:pPr>
      <w:r>
        <w:rPr>
          <w:b/>
          <w:u w:val="single"/>
        </w:rPr>
        <w:t>Essential Potential to Emit (PTE) Parameters</w:t>
      </w:r>
    </w:p>
    <w:p w14:paraId="6B65CFE5" w14:textId="77777777" w:rsidR="00773CE7" w:rsidRDefault="00773CE7" w:rsidP="00114020">
      <w:pPr>
        <w:numPr>
          <w:ilvl w:val="0"/>
          <w:numId w:val="111"/>
        </w:numPr>
        <w:tabs>
          <w:tab w:val="left" w:pos="1080"/>
          <w:tab w:val="left" w:pos="1440"/>
        </w:tabs>
      </w:pPr>
      <w:bookmarkStart w:id="241" w:name="_Hlk520722967"/>
      <w:r>
        <w:rPr>
          <w:u w:val="single"/>
        </w:rPr>
        <w:t>Allowable Fuel</w:t>
      </w:r>
      <w:r>
        <w:rPr>
          <w:i/>
        </w:rPr>
        <w:t xml:space="preserve">.   </w:t>
      </w:r>
      <w:r>
        <w:rPr>
          <w:color w:val="000000"/>
        </w:rPr>
        <w:t>The stationary RICE must use diesel fuel that meets the following requirements for non-road diesel fuel:</w:t>
      </w:r>
    </w:p>
    <w:p w14:paraId="3BE585F8" w14:textId="4D2792A1" w:rsidR="00773CE7" w:rsidRPr="00C20EEA" w:rsidRDefault="00773CE7" w:rsidP="00114020">
      <w:pPr>
        <w:numPr>
          <w:ilvl w:val="0"/>
          <w:numId w:val="112"/>
        </w:numPr>
        <w:tabs>
          <w:tab w:val="left" w:pos="360"/>
        </w:tabs>
      </w:pPr>
      <w:r>
        <w:rPr>
          <w:i/>
          <w:color w:val="000000"/>
        </w:rPr>
        <w:t>Sulfur Content</w:t>
      </w:r>
      <w:r>
        <w:rPr>
          <w:color w:val="000000"/>
        </w:rPr>
        <w:t>.</w:t>
      </w:r>
      <w:r>
        <w:t xml:space="preserve">  </w:t>
      </w:r>
      <w:r>
        <w:rPr>
          <w:color w:val="000000"/>
        </w:rPr>
        <w:t>The sulfur content shall not exceed 15 ppm (0.0015% by weight) for non-road diesel fuel.</w:t>
      </w:r>
      <w:r>
        <w:t xml:space="preserve">  </w:t>
      </w:r>
      <w:r w:rsidRPr="00A73F68">
        <w:rPr>
          <w:i/>
        </w:rPr>
        <w:t>{</w:t>
      </w:r>
      <w:r w:rsidRPr="00C20EEA">
        <w:rPr>
          <w:i/>
        </w:rPr>
        <w:t>Permitting Note:  equivalent to 0.0006 lb SO</w:t>
      </w:r>
      <w:r w:rsidRPr="00C20EEA">
        <w:rPr>
          <w:i/>
          <w:vertAlign w:val="subscript"/>
        </w:rPr>
        <w:t>2</w:t>
      </w:r>
      <w:r w:rsidRPr="00C20EEA">
        <w:rPr>
          <w:i/>
        </w:rPr>
        <w:t>/hour}</w:t>
      </w:r>
    </w:p>
    <w:p w14:paraId="6F5145A5" w14:textId="415BD195" w:rsidR="00773CE7" w:rsidRPr="00C20EEA" w:rsidRDefault="00773CE7" w:rsidP="00114020">
      <w:pPr>
        <w:numPr>
          <w:ilvl w:val="0"/>
          <w:numId w:val="112"/>
        </w:numPr>
        <w:tabs>
          <w:tab w:val="left" w:pos="360"/>
        </w:tabs>
      </w:pPr>
      <w:r w:rsidRPr="00C20EEA">
        <w:rPr>
          <w:i/>
          <w:color w:val="000000"/>
        </w:rPr>
        <w:t>Cetane and Aromatic</w:t>
      </w:r>
      <w:r w:rsidRPr="00C20EEA">
        <w:rPr>
          <w:color w:val="000000"/>
        </w:rPr>
        <w:t>.  The fuel must have a minimum cetane index of 40 or</w:t>
      </w:r>
      <w:r w:rsidRPr="00C20EEA">
        <w:t xml:space="preserve"> </w:t>
      </w:r>
      <w:r w:rsidRPr="00C20EEA">
        <w:rPr>
          <w:color w:val="000000"/>
        </w:rPr>
        <w:t>must have a</w:t>
      </w:r>
      <w:r w:rsidRPr="00C20EEA">
        <w:t xml:space="preserve"> maximum aromatic content of 35 volume percent.</w:t>
      </w:r>
    </w:p>
    <w:p w14:paraId="7A840AA1" w14:textId="0764FE58" w:rsidR="00ED6E59" w:rsidRPr="00C20EEA" w:rsidRDefault="00ED6E59" w:rsidP="00114020">
      <w:pPr>
        <w:numPr>
          <w:ilvl w:val="0"/>
          <w:numId w:val="112"/>
        </w:numPr>
        <w:tabs>
          <w:tab w:val="left" w:pos="360"/>
        </w:tabs>
      </w:pPr>
      <w:r w:rsidRPr="00C20EEA">
        <w:rPr>
          <w:i/>
          <w:color w:val="000000"/>
        </w:rPr>
        <w:t>Use of Existing Fuel</w:t>
      </w:r>
      <w:r w:rsidRPr="00C20EEA">
        <w:rPr>
          <w:color w:val="000000"/>
        </w:rPr>
        <w:t xml:space="preserve">.  Any existing diesel fuel purchased (or otherwise obtained) prior to October 1, 2010, may be used until depleted.  </w:t>
      </w:r>
    </w:p>
    <w:p w14:paraId="1BE9C0E2" w14:textId="7DC667BB" w:rsidR="00773CE7" w:rsidRDefault="00773CE7" w:rsidP="006041D0">
      <w:pPr>
        <w:tabs>
          <w:tab w:val="left" w:pos="360"/>
        </w:tabs>
        <w:spacing w:after="120"/>
        <w:ind w:left="360"/>
        <w:rPr>
          <w:color w:val="000000"/>
        </w:rPr>
      </w:pPr>
      <w:r>
        <w:rPr>
          <w:color w:val="000000"/>
        </w:rPr>
        <w:t>[40 CFR 60.4207(b) and 40 CFR 80.510(b)]</w:t>
      </w:r>
    </w:p>
    <w:p w14:paraId="71994DFA" w14:textId="45522F86" w:rsidR="00773CE7" w:rsidRDefault="004A5B50" w:rsidP="00114020">
      <w:pPr>
        <w:numPr>
          <w:ilvl w:val="0"/>
          <w:numId w:val="111"/>
        </w:numPr>
        <w:tabs>
          <w:tab w:val="left" w:pos="360"/>
        </w:tabs>
      </w:pPr>
      <w:bookmarkStart w:id="242" w:name="_Hlk520723123"/>
      <w:bookmarkEnd w:id="241"/>
      <w:r w:rsidRPr="00C20EEA">
        <w:rPr>
          <w:u w:val="single"/>
        </w:rPr>
        <w:t>Restricted</w:t>
      </w:r>
      <w:r>
        <w:rPr>
          <w:u w:val="single"/>
        </w:rPr>
        <w:t xml:space="preserve"> </w:t>
      </w:r>
      <w:r w:rsidR="00773CE7">
        <w:rPr>
          <w:u w:val="single"/>
        </w:rPr>
        <w:t>Hours of Operation</w:t>
      </w:r>
      <w:r w:rsidR="00773CE7">
        <w:t>.</w:t>
      </w:r>
    </w:p>
    <w:p w14:paraId="215172A6" w14:textId="77777777" w:rsidR="00773CE7" w:rsidRDefault="00773CE7" w:rsidP="00114020">
      <w:pPr>
        <w:numPr>
          <w:ilvl w:val="1"/>
          <w:numId w:val="111"/>
        </w:numPr>
        <w:tabs>
          <w:tab w:val="left" w:pos="360"/>
        </w:tabs>
        <w:ind w:left="720"/>
      </w:pPr>
      <w:r>
        <w:rPr>
          <w:i/>
        </w:rPr>
        <w:t>Emergency Situations</w:t>
      </w:r>
      <w:r>
        <w:t>.  There is no time limit on the use of emergency stationary RICE in emergency situations.  [40 CFR 60.4211(f)(1)]</w:t>
      </w:r>
    </w:p>
    <w:p w14:paraId="4CA80379" w14:textId="55C8C9EC" w:rsidR="00773CE7" w:rsidRPr="00C20EEA" w:rsidRDefault="00773CE7" w:rsidP="00114020">
      <w:pPr>
        <w:numPr>
          <w:ilvl w:val="1"/>
          <w:numId w:val="111"/>
        </w:numPr>
        <w:tabs>
          <w:tab w:val="left" w:pos="360"/>
        </w:tabs>
        <w:ind w:left="720"/>
      </w:pPr>
      <w:r>
        <w:rPr>
          <w:i/>
          <w:szCs w:val="22"/>
        </w:rPr>
        <w:t xml:space="preserve">Maintenance and Testing.  </w:t>
      </w:r>
      <w:r w:rsidR="003A02A8" w:rsidRPr="00C20EEA">
        <w:rPr>
          <w:szCs w:val="22"/>
        </w:rPr>
        <w:t xml:space="preserve">This </w:t>
      </w:r>
      <w:r w:rsidRPr="00C20EEA">
        <w:rPr>
          <w:szCs w:val="22"/>
        </w:rPr>
        <w:t xml:space="preserve">RICE is authorized to operate for the purpose of maintenance checks and readiness testing, provided that the tests are recommended by federal, state, or local government, the manufacturer, the vendor, or the insurance company associated with the engine. Maintenance checks and readiness testing of such units is limited to 100 hours per year. </w:t>
      </w:r>
      <w:r w:rsidR="003A02A8" w:rsidRPr="00C20EEA">
        <w:rPr>
          <w:szCs w:val="22"/>
        </w:rPr>
        <w:t xml:space="preserve"> The owner or operator may petition the </w:t>
      </w:r>
      <w:r w:rsidR="002F61DE" w:rsidRPr="00C20EEA">
        <w:rPr>
          <w:szCs w:val="22"/>
        </w:rPr>
        <w:t xml:space="preserve">Department </w:t>
      </w:r>
      <w:r w:rsidR="003A02A8" w:rsidRPr="00C20EEA">
        <w:rPr>
          <w:szCs w:val="22"/>
        </w:rPr>
        <w:t>for approval of additional hours to be used for maintenance checks and readiness testing, but a petition is not required if the owner or operator maintains records indicating that Federal, State, or local standards require maintenance and testing of emergency RICE beyond 100 hours per year.  [40 CFR 60.4211(f)(2)(</w:t>
      </w:r>
      <w:proofErr w:type="spellStart"/>
      <w:r w:rsidR="003A02A8" w:rsidRPr="00C20EEA">
        <w:rPr>
          <w:szCs w:val="22"/>
        </w:rPr>
        <w:t>i</w:t>
      </w:r>
      <w:proofErr w:type="spellEnd"/>
      <w:r w:rsidR="003A02A8" w:rsidRPr="00C20EEA">
        <w:rPr>
          <w:szCs w:val="22"/>
        </w:rPr>
        <w:t xml:space="preserve">)] </w:t>
      </w:r>
      <w:r w:rsidRPr="00C20EEA">
        <w:rPr>
          <w:szCs w:val="22"/>
        </w:rPr>
        <w:t xml:space="preserve"> </w:t>
      </w:r>
    </w:p>
    <w:p w14:paraId="123AB148" w14:textId="12F738FB" w:rsidR="006041D0" w:rsidRPr="00B31880" w:rsidRDefault="00C351CC" w:rsidP="00114020">
      <w:pPr>
        <w:numPr>
          <w:ilvl w:val="1"/>
          <w:numId w:val="111"/>
        </w:numPr>
        <w:tabs>
          <w:tab w:val="left" w:pos="360"/>
        </w:tabs>
        <w:ind w:left="720"/>
      </w:pPr>
      <w:r w:rsidRPr="00C20EEA">
        <w:rPr>
          <w:i/>
        </w:rPr>
        <w:t xml:space="preserve">Non-emergency </w:t>
      </w:r>
      <w:r w:rsidR="00773CE7" w:rsidRPr="00C20EEA">
        <w:rPr>
          <w:i/>
        </w:rPr>
        <w:t>Situations</w:t>
      </w:r>
      <w:r w:rsidR="00773CE7" w:rsidRPr="00C20EEA">
        <w:t>.  Each RICE cannot be used for peak shaving or to generate income for a facility to supply power to an electric grid or otherwise supply power as part of a financial arrangement with another entity</w:t>
      </w:r>
      <w:r w:rsidR="00773CE7" w:rsidRPr="00B31880">
        <w:t xml:space="preserve">.  Each RICE may be operated for up to 50 hours per calendar year in non-emergency situations.  </w:t>
      </w:r>
    </w:p>
    <w:p w14:paraId="649A297F" w14:textId="0F2E38BE" w:rsidR="00773CE7" w:rsidRDefault="006041D0" w:rsidP="006041D0">
      <w:pPr>
        <w:tabs>
          <w:tab w:val="left" w:pos="360"/>
        </w:tabs>
        <w:spacing w:after="120"/>
        <w:ind w:left="360"/>
      </w:pPr>
      <w:r>
        <w:t>[</w:t>
      </w:r>
      <w:r w:rsidR="00773CE7">
        <w:t>40 CFR 60.4211(f)]</w:t>
      </w:r>
    </w:p>
    <w:bookmarkEnd w:id="242"/>
    <w:p w14:paraId="0936E699" w14:textId="77777777" w:rsidR="00773CE7" w:rsidRDefault="00773CE7" w:rsidP="00773CE7">
      <w:pPr>
        <w:tabs>
          <w:tab w:val="left" w:pos="1080"/>
          <w:tab w:val="left" w:pos="1440"/>
        </w:tabs>
        <w:spacing w:after="120"/>
        <w:rPr>
          <w:u w:val="single"/>
        </w:rPr>
      </w:pPr>
      <w:r>
        <w:rPr>
          <w:b/>
          <w:u w:val="single"/>
        </w:rPr>
        <w:t>Emission Standards and Limitations</w:t>
      </w:r>
    </w:p>
    <w:p w14:paraId="1A393FEB" w14:textId="4DC739DB" w:rsidR="00773CE7" w:rsidRPr="00C20EEA" w:rsidRDefault="00773CE7" w:rsidP="00114020">
      <w:pPr>
        <w:numPr>
          <w:ilvl w:val="0"/>
          <w:numId w:val="111"/>
        </w:numPr>
        <w:tabs>
          <w:tab w:val="left" w:pos="360"/>
        </w:tabs>
        <w:spacing w:after="120"/>
        <w:rPr>
          <w:szCs w:val="22"/>
        </w:rPr>
      </w:pPr>
      <w:bookmarkStart w:id="243" w:name="_Ref520714465"/>
      <w:bookmarkStart w:id="244" w:name="_Hlk520723270"/>
      <w:r>
        <w:rPr>
          <w:szCs w:val="22"/>
          <w:u w:val="single"/>
        </w:rPr>
        <w:t>NMHC + NOx Emissions</w:t>
      </w:r>
      <w:r>
        <w:rPr>
          <w:szCs w:val="22"/>
        </w:rPr>
        <w:t>.  Non-methane hydrocarbons and nitrogen oxide emissions shall not exceed 4.0 g/</w:t>
      </w:r>
      <w:proofErr w:type="spellStart"/>
      <w:r>
        <w:rPr>
          <w:szCs w:val="22"/>
        </w:rPr>
        <w:t>KW-</w:t>
      </w:r>
      <w:r w:rsidRPr="00C20EEA">
        <w:rPr>
          <w:szCs w:val="22"/>
        </w:rPr>
        <w:t>hr</w:t>
      </w:r>
      <w:proofErr w:type="spellEnd"/>
      <w:r w:rsidRPr="00C20EEA">
        <w:rPr>
          <w:szCs w:val="22"/>
        </w:rPr>
        <w:t xml:space="preserve"> </w:t>
      </w:r>
      <w:r w:rsidR="006041D0" w:rsidRPr="00C20EEA">
        <w:rPr>
          <w:szCs w:val="22"/>
        </w:rPr>
        <w:t xml:space="preserve">(equivalent to </w:t>
      </w:r>
      <w:r w:rsidR="00A73F68" w:rsidRPr="00C20EEA">
        <w:rPr>
          <w:szCs w:val="22"/>
        </w:rPr>
        <w:t xml:space="preserve">3.0 g/HP-hr).  </w:t>
      </w:r>
      <w:r w:rsidRPr="00C20EEA">
        <w:rPr>
          <w:rFonts w:eastAsia="Calibri"/>
          <w:i/>
          <w:szCs w:val="22"/>
        </w:rPr>
        <w:t>{</w:t>
      </w:r>
      <w:r w:rsidR="00A73F68" w:rsidRPr="00C20EEA">
        <w:rPr>
          <w:rFonts w:eastAsia="Calibri"/>
          <w:i/>
          <w:szCs w:val="22"/>
        </w:rPr>
        <w:t xml:space="preserve">Permitting Note:  </w:t>
      </w:r>
      <w:r w:rsidRPr="00C20EEA">
        <w:rPr>
          <w:rFonts w:eastAsia="Calibri"/>
          <w:i/>
          <w:szCs w:val="22"/>
        </w:rPr>
        <w:t>equivalent to 1.3 lb/hour</w:t>
      </w:r>
      <w:r w:rsidRPr="00C20EEA">
        <w:rPr>
          <w:i/>
          <w:szCs w:val="22"/>
        </w:rPr>
        <w:t>}</w:t>
      </w:r>
      <w:r w:rsidRPr="00C20EEA">
        <w:rPr>
          <w:szCs w:val="22"/>
        </w:rPr>
        <w:t xml:space="preserve">  [40 CFR 60.4205(</w:t>
      </w:r>
      <w:r w:rsidR="00551904" w:rsidRPr="00C20EEA">
        <w:rPr>
          <w:szCs w:val="22"/>
        </w:rPr>
        <w:t>c</w:t>
      </w:r>
      <w:r w:rsidRPr="00C20EEA">
        <w:rPr>
          <w:szCs w:val="22"/>
        </w:rPr>
        <w:t>)</w:t>
      </w:r>
      <w:r w:rsidR="00162A38" w:rsidRPr="00C20EEA">
        <w:rPr>
          <w:szCs w:val="22"/>
        </w:rPr>
        <w:t>, Subpart IIII, Table 4 &amp; 40 CFR 89.112(a)</w:t>
      </w:r>
      <w:r w:rsidRPr="00C20EEA">
        <w:rPr>
          <w:szCs w:val="22"/>
        </w:rPr>
        <w:t>]</w:t>
      </w:r>
      <w:bookmarkEnd w:id="243"/>
    </w:p>
    <w:p w14:paraId="2155E706" w14:textId="6F429E79" w:rsidR="00773CE7" w:rsidRPr="00C20EEA" w:rsidRDefault="00773CE7" w:rsidP="00114020">
      <w:pPr>
        <w:numPr>
          <w:ilvl w:val="0"/>
          <w:numId w:val="111"/>
        </w:numPr>
        <w:tabs>
          <w:tab w:val="left" w:pos="360"/>
        </w:tabs>
        <w:spacing w:after="120"/>
        <w:rPr>
          <w:szCs w:val="22"/>
        </w:rPr>
      </w:pPr>
      <w:bookmarkStart w:id="245" w:name="_Ref520714467"/>
      <w:r>
        <w:rPr>
          <w:szCs w:val="22"/>
          <w:u w:val="single"/>
        </w:rPr>
        <w:t>CO Emissions</w:t>
      </w:r>
      <w:r>
        <w:rPr>
          <w:szCs w:val="22"/>
        </w:rPr>
        <w:t>.  Carbon monoxide emissions shall not exceed 3.5 g/</w:t>
      </w:r>
      <w:proofErr w:type="spellStart"/>
      <w:r>
        <w:rPr>
          <w:szCs w:val="22"/>
        </w:rPr>
        <w:t>KW-hr</w:t>
      </w:r>
      <w:proofErr w:type="spellEnd"/>
      <w:r w:rsidR="00A73F68">
        <w:rPr>
          <w:szCs w:val="22"/>
        </w:rPr>
        <w:t xml:space="preserve"> </w:t>
      </w:r>
      <w:r w:rsidR="00A73F68" w:rsidRPr="00C20EEA">
        <w:rPr>
          <w:szCs w:val="22"/>
        </w:rPr>
        <w:t>(equivalent to 4.8 g/HP-hr)..</w:t>
      </w:r>
      <w:r w:rsidRPr="00C20EEA">
        <w:rPr>
          <w:szCs w:val="22"/>
        </w:rPr>
        <w:t xml:space="preserve"> </w:t>
      </w:r>
      <w:r w:rsidR="00A73F68" w:rsidRPr="00C20EEA">
        <w:rPr>
          <w:szCs w:val="22"/>
        </w:rPr>
        <w:t xml:space="preserve"> </w:t>
      </w:r>
      <w:r w:rsidR="00A73F68" w:rsidRPr="00C20EEA">
        <w:rPr>
          <w:rFonts w:eastAsia="Calibri"/>
          <w:i/>
          <w:szCs w:val="22"/>
        </w:rPr>
        <w:t xml:space="preserve">{Permitting Note:  </w:t>
      </w:r>
      <w:r w:rsidRPr="00C20EEA">
        <w:rPr>
          <w:rFonts w:eastAsia="Calibri"/>
          <w:i/>
          <w:szCs w:val="22"/>
        </w:rPr>
        <w:t>equivalent to  1.1 lb/hour</w:t>
      </w:r>
      <w:r w:rsidRPr="00C20EEA">
        <w:rPr>
          <w:i/>
          <w:szCs w:val="22"/>
        </w:rPr>
        <w:t>}</w:t>
      </w:r>
      <w:r w:rsidRPr="00C20EEA">
        <w:rPr>
          <w:szCs w:val="22"/>
        </w:rPr>
        <w:t xml:space="preserve">  [40 CFR 60.4205(</w:t>
      </w:r>
      <w:r w:rsidR="00551904" w:rsidRPr="00C20EEA">
        <w:rPr>
          <w:szCs w:val="22"/>
        </w:rPr>
        <w:t>c</w:t>
      </w:r>
      <w:r w:rsidRPr="00C20EEA">
        <w:rPr>
          <w:szCs w:val="22"/>
        </w:rPr>
        <w:t>)</w:t>
      </w:r>
      <w:r w:rsidR="00162A38" w:rsidRPr="00C20EEA">
        <w:rPr>
          <w:szCs w:val="22"/>
        </w:rPr>
        <w:t>,</w:t>
      </w:r>
      <w:r w:rsidR="00551904" w:rsidRPr="00C20EEA">
        <w:rPr>
          <w:szCs w:val="22"/>
        </w:rPr>
        <w:t xml:space="preserve"> Subpart IIII, Table 4</w:t>
      </w:r>
      <w:r w:rsidR="00162A38" w:rsidRPr="00C20EEA">
        <w:rPr>
          <w:szCs w:val="22"/>
        </w:rPr>
        <w:t xml:space="preserve"> &amp; 40 CFR 89.112(a)</w:t>
      </w:r>
      <w:r w:rsidRPr="00C20EEA">
        <w:rPr>
          <w:szCs w:val="22"/>
        </w:rPr>
        <w:t>]</w:t>
      </w:r>
      <w:bookmarkEnd w:id="245"/>
    </w:p>
    <w:p w14:paraId="778CA40C" w14:textId="538D6F72" w:rsidR="00773CE7" w:rsidRPr="005047D6" w:rsidRDefault="00773CE7" w:rsidP="00114020">
      <w:pPr>
        <w:numPr>
          <w:ilvl w:val="0"/>
          <w:numId w:val="111"/>
        </w:numPr>
        <w:tabs>
          <w:tab w:val="left" w:pos="360"/>
        </w:tabs>
        <w:spacing w:after="120"/>
        <w:rPr>
          <w:szCs w:val="22"/>
        </w:rPr>
      </w:pPr>
      <w:bookmarkStart w:id="246" w:name="_Ref520714469"/>
      <w:r>
        <w:rPr>
          <w:szCs w:val="22"/>
          <w:u w:val="single"/>
        </w:rPr>
        <w:t>PM Emissions</w:t>
      </w:r>
      <w:r>
        <w:rPr>
          <w:szCs w:val="22"/>
        </w:rPr>
        <w:t xml:space="preserve">.  </w:t>
      </w:r>
      <w:r w:rsidRPr="005047D6">
        <w:rPr>
          <w:szCs w:val="22"/>
        </w:rPr>
        <w:t>Particulate matter emissions shall not exceed 0.20 g/</w:t>
      </w:r>
      <w:proofErr w:type="spellStart"/>
      <w:r w:rsidRPr="005047D6">
        <w:rPr>
          <w:szCs w:val="22"/>
        </w:rPr>
        <w:t>KW-hr</w:t>
      </w:r>
      <w:proofErr w:type="spellEnd"/>
      <w:r w:rsidR="006371A3" w:rsidRPr="005047D6">
        <w:rPr>
          <w:szCs w:val="22"/>
        </w:rPr>
        <w:t xml:space="preserve"> (equivalent to 0.15g/HP-hr)</w:t>
      </w:r>
      <w:r w:rsidRPr="005047D6">
        <w:rPr>
          <w:szCs w:val="22"/>
        </w:rPr>
        <w:t xml:space="preserve"> </w:t>
      </w:r>
      <w:r w:rsidRPr="005047D6">
        <w:rPr>
          <w:rFonts w:eastAsia="Calibri"/>
          <w:i/>
          <w:szCs w:val="22"/>
        </w:rPr>
        <w:t>{</w:t>
      </w:r>
      <w:r w:rsidR="006371A3" w:rsidRPr="005047D6">
        <w:rPr>
          <w:rFonts w:eastAsia="Calibri"/>
          <w:i/>
          <w:szCs w:val="22"/>
        </w:rPr>
        <w:t xml:space="preserve">Permitting Note:  </w:t>
      </w:r>
      <w:r w:rsidRPr="005047D6">
        <w:rPr>
          <w:rFonts w:eastAsia="Calibri"/>
          <w:i/>
          <w:szCs w:val="22"/>
        </w:rPr>
        <w:t>equivalent to 0.06 lb/hour</w:t>
      </w:r>
      <w:r w:rsidRPr="005047D6">
        <w:rPr>
          <w:i/>
          <w:szCs w:val="22"/>
        </w:rPr>
        <w:t>}</w:t>
      </w:r>
      <w:r w:rsidRPr="005047D6">
        <w:rPr>
          <w:szCs w:val="22"/>
        </w:rPr>
        <w:t xml:space="preserve">  [40 CFR 60.4205(</w:t>
      </w:r>
      <w:r w:rsidR="00551904" w:rsidRPr="005047D6">
        <w:rPr>
          <w:szCs w:val="22"/>
        </w:rPr>
        <w:t>c</w:t>
      </w:r>
      <w:r w:rsidRPr="005047D6">
        <w:rPr>
          <w:szCs w:val="22"/>
        </w:rPr>
        <w:t>)</w:t>
      </w:r>
      <w:r w:rsidR="00162A38" w:rsidRPr="005047D6">
        <w:rPr>
          <w:szCs w:val="22"/>
        </w:rPr>
        <w:t>, Subpart IIII, Table 4 &amp; 40 CFR 89.112(a)</w:t>
      </w:r>
      <w:r w:rsidRPr="005047D6">
        <w:rPr>
          <w:szCs w:val="22"/>
        </w:rPr>
        <w:t>]</w:t>
      </w:r>
      <w:bookmarkEnd w:id="246"/>
    </w:p>
    <w:bookmarkEnd w:id="244"/>
    <w:p w14:paraId="2FB00D0B" w14:textId="77777777" w:rsidR="00773CE7" w:rsidRDefault="00773CE7" w:rsidP="00773CE7">
      <w:pPr>
        <w:tabs>
          <w:tab w:val="left" w:pos="1080"/>
          <w:tab w:val="left" w:pos="1440"/>
        </w:tabs>
        <w:spacing w:after="120"/>
        <w:rPr>
          <w:u w:val="single"/>
        </w:rPr>
      </w:pPr>
      <w:r>
        <w:rPr>
          <w:b/>
          <w:u w:val="single"/>
        </w:rPr>
        <w:t>Monitoring of Operations</w:t>
      </w:r>
    </w:p>
    <w:p w14:paraId="0FF137B7" w14:textId="77777777" w:rsidR="00773CE7" w:rsidRDefault="00773CE7" w:rsidP="00114020">
      <w:pPr>
        <w:numPr>
          <w:ilvl w:val="0"/>
          <w:numId w:val="111"/>
        </w:numPr>
        <w:spacing w:after="120"/>
      </w:pPr>
      <w:r>
        <w:rPr>
          <w:color w:val="000000"/>
          <w:u w:val="single"/>
        </w:rPr>
        <w:t>Hour Meter</w:t>
      </w:r>
      <w:r>
        <w:rPr>
          <w:color w:val="000000"/>
        </w:rPr>
        <w:t>.  The owner or operator must install a non-resettable hour meter if one is not already installed.  [40 CFR 60.4209(a)]</w:t>
      </w:r>
    </w:p>
    <w:p w14:paraId="33F31D5B" w14:textId="2F09DD53" w:rsidR="00773CE7" w:rsidRPr="005047D6" w:rsidRDefault="008D69DD" w:rsidP="00773CE7">
      <w:pPr>
        <w:tabs>
          <w:tab w:val="left" w:pos="1080"/>
          <w:tab w:val="left" w:pos="1440"/>
        </w:tabs>
        <w:spacing w:after="120"/>
        <w:rPr>
          <w:u w:val="single"/>
        </w:rPr>
      </w:pPr>
      <w:bookmarkStart w:id="247" w:name="_Hlk520723507"/>
      <w:r w:rsidRPr="005047D6">
        <w:rPr>
          <w:b/>
          <w:u w:val="single"/>
        </w:rPr>
        <w:t xml:space="preserve">Testing and </w:t>
      </w:r>
      <w:r w:rsidR="00773CE7" w:rsidRPr="005047D6">
        <w:rPr>
          <w:b/>
          <w:u w:val="single"/>
        </w:rPr>
        <w:t>Compliance Requirements</w:t>
      </w:r>
    </w:p>
    <w:p w14:paraId="4CE5FB49" w14:textId="7ECC5EE7" w:rsidR="008D69DD" w:rsidRPr="005047D6" w:rsidRDefault="008D69DD" w:rsidP="00114020">
      <w:pPr>
        <w:numPr>
          <w:ilvl w:val="0"/>
          <w:numId w:val="111"/>
        </w:numPr>
        <w:spacing w:after="120"/>
        <w:rPr>
          <w:color w:val="000000"/>
          <w:szCs w:val="22"/>
          <w:u w:val="double"/>
        </w:rPr>
      </w:pPr>
      <w:r w:rsidRPr="005047D6">
        <w:rPr>
          <w:color w:val="000000"/>
          <w:szCs w:val="22"/>
          <w:u w:val="single"/>
        </w:rPr>
        <w:t>Operation and Maintenance</w:t>
      </w:r>
      <w:r w:rsidRPr="005047D6">
        <w:rPr>
          <w:color w:val="000000"/>
          <w:szCs w:val="22"/>
        </w:rPr>
        <w:t xml:space="preserve">.  The owner or operator must operate and maintain the stationary CI ICE according to the manufacturer's written emission-related instructions.  In addition, owners and operators may only change those settings that are permitted by the manufacturer.  The owner or operator must meet the requirements of 40 CFR 89, 94 and/or 1068, as they apply.  This RICE must be maintained and operated to meet the emissions limits in Specific Conditions </w:t>
      </w:r>
      <w:r w:rsidRPr="005047D6">
        <w:rPr>
          <w:b/>
          <w:color w:val="000000"/>
          <w:szCs w:val="22"/>
        </w:rPr>
        <w:fldChar w:fldCharType="begin"/>
      </w:r>
      <w:r w:rsidRPr="005047D6">
        <w:rPr>
          <w:b/>
          <w:color w:val="000000"/>
          <w:szCs w:val="22"/>
        </w:rPr>
        <w:instrText xml:space="preserve"> REF _Ref520714465 \r \h  \* MERGEFORMAT </w:instrText>
      </w:r>
      <w:r w:rsidRPr="005047D6">
        <w:rPr>
          <w:b/>
          <w:color w:val="000000"/>
          <w:szCs w:val="22"/>
        </w:rPr>
      </w:r>
      <w:r w:rsidRPr="005047D6">
        <w:rPr>
          <w:b/>
          <w:color w:val="000000"/>
          <w:szCs w:val="22"/>
        </w:rPr>
        <w:fldChar w:fldCharType="separate"/>
      </w:r>
      <w:r w:rsidR="00D31800">
        <w:rPr>
          <w:b/>
          <w:color w:val="000000"/>
          <w:szCs w:val="22"/>
        </w:rPr>
        <w:t>G.3</w:t>
      </w:r>
      <w:r w:rsidRPr="005047D6">
        <w:rPr>
          <w:b/>
          <w:color w:val="000000"/>
          <w:szCs w:val="22"/>
        </w:rPr>
        <w:fldChar w:fldCharType="end"/>
      </w:r>
      <w:r w:rsidRPr="005047D6">
        <w:rPr>
          <w:color w:val="000000"/>
          <w:szCs w:val="22"/>
        </w:rPr>
        <w:t xml:space="preserve">, </w:t>
      </w:r>
      <w:r w:rsidRPr="005047D6">
        <w:rPr>
          <w:b/>
          <w:color w:val="000000"/>
          <w:szCs w:val="22"/>
        </w:rPr>
        <w:fldChar w:fldCharType="begin"/>
      </w:r>
      <w:r w:rsidRPr="005047D6">
        <w:rPr>
          <w:b/>
          <w:color w:val="000000"/>
          <w:szCs w:val="22"/>
        </w:rPr>
        <w:instrText xml:space="preserve"> REF _Ref520714467 \r \h  \* MERGEFORMAT </w:instrText>
      </w:r>
      <w:r w:rsidRPr="005047D6">
        <w:rPr>
          <w:b/>
          <w:color w:val="000000"/>
          <w:szCs w:val="22"/>
        </w:rPr>
      </w:r>
      <w:r w:rsidRPr="005047D6">
        <w:rPr>
          <w:b/>
          <w:color w:val="000000"/>
          <w:szCs w:val="22"/>
        </w:rPr>
        <w:fldChar w:fldCharType="separate"/>
      </w:r>
      <w:r w:rsidR="00D31800">
        <w:rPr>
          <w:b/>
          <w:color w:val="000000"/>
          <w:szCs w:val="22"/>
        </w:rPr>
        <w:t>G.4</w:t>
      </w:r>
      <w:r w:rsidRPr="005047D6">
        <w:rPr>
          <w:b/>
          <w:color w:val="000000"/>
          <w:szCs w:val="22"/>
        </w:rPr>
        <w:fldChar w:fldCharType="end"/>
      </w:r>
      <w:r w:rsidRPr="005047D6">
        <w:rPr>
          <w:color w:val="000000"/>
          <w:szCs w:val="22"/>
        </w:rPr>
        <w:t xml:space="preserve"> and </w:t>
      </w:r>
      <w:r w:rsidRPr="005047D6">
        <w:rPr>
          <w:b/>
          <w:color w:val="000000"/>
          <w:szCs w:val="22"/>
        </w:rPr>
        <w:fldChar w:fldCharType="begin"/>
      </w:r>
      <w:r w:rsidRPr="005047D6">
        <w:rPr>
          <w:b/>
          <w:color w:val="000000"/>
          <w:szCs w:val="22"/>
        </w:rPr>
        <w:instrText xml:space="preserve"> REF _Ref520714469 \r \h  \* MERGEFORMAT </w:instrText>
      </w:r>
      <w:r w:rsidRPr="005047D6">
        <w:rPr>
          <w:b/>
          <w:color w:val="000000"/>
          <w:szCs w:val="22"/>
        </w:rPr>
      </w:r>
      <w:r w:rsidRPr="005047D6">
        <w:rPr>
          <w:b/>
          <w:color w:val="000000"/>
          <w:szCs w:val="22"/>
        </w:rPr>
        <w:fldChar w:fldCharType="separate"/>
      </w:r>
      <w:r w:rsidR="00D31800">
        <w:rPr>
          <w:b/>
          <w:color w:val="000000"/>
          <w:szCs w:val="22"/>
        </w:rPr>
        <w:t>G.5</w:t>
      </w:r>
      <w:r w:rsidRPr="005047D6">
        <w:rPr>
          <w:b/>
          <w:color w:val="000000"/>
          <w:szCs w:val="22"/>
        </w:rPr>
        <w:fldChar w:fldCharType="end"/>
      </w:r>
      <w:r w:rsidRPr="005047D6">
        <w:rPr>
          <w:color w:val="000000"/>
          <w:szCs w:val="22"/>
        </w:rPr>
        <w:t xml:space="preserve"> over the entire life of the engine.  [40 CFR 60.4206 &amp; 60.4211(a)]</w:t>
      </w:r>
    </w:p>
    <w:p w14:paraId="2645BE1D" w14:textId="6FA0448D" w:rsidR="004A5B50" w:rsidRPr="005047D6" w:rsidRDefault="004A5B50" w:rsidP="00114020">
      <w:pPr>
        <w:numPr>
          <w:ilvl w:val="0"/>
          <w:numId w:val="111"/>
        </w:numPr>
        <w:spacing w:after="120"/>
        <w:rPr>
          <w:strike/>
        </w:rPr>
      </w:pPr>
      <w:bookmarkStart w:id="248" w:name="_Ref520720731"/>
      <w:bookmarkEnd w:id="247"/>
      <w:r w:rsidRPr="005047D6">
        <w:rPr>
          <w:u w:val="single"/>
        </w:rPr>
        <w:t>Engine Certification Requirements</w:t>
      </w:r>
      <w:r w:rsidRPr="005047D6">
        <w:t xml:space="preserve">.  The owner or operator must comply with the emissions standards specified above by having purchased an engine certified by the manufacturer to meet the limits in </w:t>
      </w:r>
      <w:r w:rsidRPr="005047D6">
        <w:rPr>
          <w:color w:val="000000"/>
          <w:szCs w:val="22"/>
        </w:rPr>
        <w:t xml:space="preserve">Specific Conditions </w:t>
      </w:r>
      <w:r w:rsidRPr="005047D6">
        <w:rPr>
          <w:b/>
          <w:color w:val="000000"/>
          <w:szCs w:val="22"/>
        </w:rPr>
        <w:fldChar w:fldCharType="begin"/>
      </w:r>
      <w:r w:rsidRPr="005047D6">
        <w:rPr>
          <w:b/>
          <w:color w:val="000000"/>
          <w:szCs w:val="22"/>
        </w:rPr>
        <w:instrText xml:space="preserve"> REF _Ref520714465 \r \h  \* MERGEFORMAT </w:instrText>
      </w:r>
      <w:r w:rsidRPr="005047D6">
        <w:rPr>
          <w:b/>
          <w:color w:val="000000"/>
          <w:szCs w:val="22"/>
        </w:rPr>
      </w:r>
      <w:r w:rsidRPr="005047D6">
        <w:rPr>
          <w:b/>
          <w:color w:val="000000"/>
          <w:szCs w:val="22"/>
        </w:rPr>
        <w:fldChar w:fldCharType="separate"/>
      </w:r>
      <w:r w:rsidR="00D31800">
        <w:rPr>
          <w:b/>
          <w:color w:val="000000"/>
          <w:szCs w:val="22"/>
        </w:rPr>
        <w:t>G.3</w:t>
      </w:r>
      <w:r w:rsidRPr="005047D6">
        <w:rPr>
          <w:b/>
          <w:color w:val="000000"/>
          <w:szCs w:val="22"/>
        </w:rPr>
        <w:fldChar w:fldCharType="end"/>
      </w:r>
      <w:r w:rsidRPr="005047D6">
        <w:rPr>
          <w:color w:val="000000"/>
          <w:szCs w:val="22"/>
        </w:rPr>
        <w:t xml:space="preserve">, </w:t>
      </w:r>
      <w:r w:rsidRPr="005047D6">
        <w:rPr>
          <w:b/>
          <w:color w:val="000000"/>
          <w:szCs w:val="22"/>
        </w:rPr>
        <w:fldChar w:fldCharType="begin"/>
      </w:r>
      <w:r w:rsidRPr="005047D6">
        <w:rPr>
          <w:b/>
          <w:color w:val="000000"/>
          <w:szCs w:val="22"/>
        </w:rPr>
        <w:instrText xml:space="preserve"> REF _Ref520714467 \r \h  \* MERGEFORMAT </w:instrText>
      </w:r>
      <w:r w:rsidRPr="005047D6">
        <w:rPr>
          <w:b/>
          <w:color w:val="000000"/>
          <w:szCs w:val="22"/>
        </w:rPr>
      </w:r>
      <w:r w:rsidRPr="005047D6">
        <w:rPr>
          <w:b/>
          <w:color w:val="000000"/>
          <w:szCs w:val="22"/>
        </w:rPr>
        <w:fldChar w:fldCharType="separate"/>
      </w:r>
      <w:r w:rsidR="00D31800">
        <w:rPr>
          <w:b/>
          <w:color w:val="000000"/>
          <w:szCs w:val="22"/>
        </w:rPr>
        <w:t>G.4</w:t>
      </w:r>
      <w:r w:rsidRPr="005047D6">
        <w:rPr>
          <w:b/>
          <w:color w:val="000000"/>
          <w:szCs w:val="22"/>
        </w:rPr>
        <w:fldChar w:fldCharType="end"/>
      </w:r>
      <w:r w:rsidRPr="005047D6">
        <w:rPr>
          <w:color w:val="000000"/>
          <w:szCs w:val="22"/>
        </w:rPr>
        <w:t xml:space="preserve"> and </w:t>
      </w:r>
      <w:r w:rsidRPr="005047D6">
        <w:rPr>
          <w:b/>
          <w:color w:val="000000"/>
          <w:szCs w:val="22"/>
        </w:rPr>
        <w:fldChar w:fldCharType="begin"/>
      </w:r>
      <w:r w:rsidRPr="005047D6">
        <w:rPr>
          <w:b/>
          <w:color w:val="000000"/>
          <w:szCs w:val="22"/>
        </w:rPr>
        <w:instrText xml:space="preserve"> REF _Ref520714469 \r \h  \* MERGEFORMAT </w:instrText>
      </w:r>
      <w:r w:rsidRPr="005047D6">
        <w:rPr>
          <w:b/>
          <w:color w:val="000000"/>
          <w:szCs w:val="22"/>
        </w:rPr>
      </w:r>
      <w:r w:rsidRPr="005047D6">
        <w:rPr>
          <w:b/>
          <w:color w:val="000000"/>
          <w:szCs w:val="22"/>
        </w:rPr>
        <w:fldChar w:fldCharType="separate"/>
      </w:r>
      <w:r w:rsidR="00D31800">
        <w:rPr>
          <w:b/>
          <w:color w:val="000000"/>
          <w:szCs w:val="22"/>
        </w:rPr>
        <w:t>G.5</w:t>
      </w:r>
      <w:r w:rsidRPr="005047D6">
        <w:rPr>
          <w:b/>
          <w:color w:val="000000"/>
          <w:szCs w:val="22"/>
        </w:rPr>
        <w:fldChar w:fldCharType="end"/>
      </w:r>
      <w:r w:rsidRPr="005047D6">
        <w:rPr>
          <w:color w:val="000000"/>
          <w:szCs w:val="22"/>
        </w:rPr>
        <w:t xml:space="preserve">.  The engine must be installed and configured according to the manufacturer’s emission-related specifications, except as permitted in Specific Condition </w:t>
      </w:r>
      <w:r w:rsidR="00ED0FEF" w:rsidRPr="005047D6">
        <w:rPr>
          <w:b/>
          <w:color w:val="000000"/>
          <w:szCs w:val="22"/>
        </w:rPr>
        <w:fldChar w:fldCharType="begin"/>
      </w:r>
      <w:r w:rsidR="00ED0FEF" w:rsidRPr="005047D6">
        <w:rPr>
          <w:b/>
          <w:color w:val="000000"/>
          <w:szCs w:val="22"/>
        </w:rPr>
        <w:instrText xml:space="preserve"> REF _Ref520715992 \r \h  \* MERGEFORMAT </w:instrText>
      </w:r>
      <w:r w:rsidR="00ED0FEF" w:rsidRPr="005047D6">
        <w:rPr>
          <w:b/>
          <w:color w:val="000000"/>
          <w:szCs w:val="22"/>
        </w:rPr>
      </w:r>
      <w:r w:rsidR="00ED0FEF" w:rsidRPr="005047D6">
        <w:rPr>
          <w:b/>
          <w:color w:val="000000"/>
          <w:szCs w:val="22"/>
        </w:rPr>
        <w:fldChar w:fldCharType="separate"/>
      </w:r>
      <w:r w:rsidR="00D31800">
        <w:rPr>
          <w:b/>
          <w:color w:val="000000"/>
          <w:szCs w:val="22"/>
        </w:rPr>
        <w:t>G.9</w:t>
      </w:r>
      <w:r w:rsidR="00ED0FEF" w:rsidRPr="005047D6">
        <w:rPr>
          <w:b/>
          <w:color w:val="000000"/>
          <w:szCs w:val="22"/>
        </w:rPr>
        <w:fldChar w:fldCharType="end"/>
      </w:r>
      <w:r w:rsidRPr="005047D6">
        <w:rPr>
          <w:color w:val="000000"/>
          <w:szCs w:val="22"/>
        </w:rPr>
        <w:t xml:space="preserve"> of this subsection.  [40 CFR 60.4211(c)]</w:t>
      </w:r>
      <w:bookmarkEnd w:id="248"/>
    </w:p>
    <w:p w14:paraId="33EA69C7" w14:textId="0052972E" w:rsidR="00ED0FEF" w:rsidRPr="005047D6" w:rsidRDefault="00ED0FEF" w:rsidP="00114020">
      <w:pPr>
        <w:numPr>
          <w:ilvl w:val="0"/>
          <w:numId w:val="111"/>
        </w:numPr>
        <w:spacing w:after="120"/>
        <w:rPr>
          <w:strike/>
        </w:rPr>
      </w:pPr>
      <w:bookmarkStart w:id="249" w:name="_Ref520715992"/>
      <w:r w:rsidRPr="005047D6">
        <w:rPr>
          <w:u w:val="single"/>
        </w:rPr>
        <w:t>Compliance Due to Loss of Certification</w:t>
      </w:r>
      <w:r w:rsidRPr="005047D6">
        <w:t>.  If the owner or operator does not install, configure, operate and maintain your engine and control device according to the manufacturer's emission-related written instructions, or the owner or operator changes emission-related settings in a way that is not permitted by the manufacturer, the owner or operator must keep a maintenance plan and records of conducted maintenance and must, to the extent practicable, maintain and operate the engine in manner consistent with good air pollution control practice for minimizing emissions.  In addition, the owner or operator must conduct an initial performance test to demonstrate compliance with the applicable emission standards within 1 year after an engine and control device is no longer installed, configured, operated and maintained in accordance with the manufacturer's emission-related written instructions, or within 1 year after you change emission-related settings in a way that is not permitted by the manufacturer.  [40 CFR 60.4211(g)]</w:t>
      </w:r>
      <w:bookmarkEnd w:id="249"/>
      <w:r w:rsidRPr="005047D6">
        <w:rPr>
          <w:u w:val="double"/>
        </w:rPr>
        <w:t xml:space="preserve"> </w:t>
      </w:r>
    </w:p>
    <w:p w14:paraId="7B7E6C4A" w14:textId="3A10CCBE" w:rsidR="0063408F" w:rsidRPr="005047D6" w:rsidRDefault="000E3C72" w:rsidP="00114020">
      <w:pPr>
        <w:numPr>
          <w:ilvl w:val="0"/>
          <w:numId w:val="111"/>
        </w:numPr>
        <w:rPr>
          <w:strike/>
        </w:rPr>
      </w:pPr>
      <w:bookmarkStart w:id="250" w:name="_Ref520719776"/>
      <w:r w:rsidRPr="005047D6">
        <w:rPr>
          <w:u w:val="single"/>
        </w:rPr>
        <w:t>Testing Requirements</w:t>
      </w:r>
      <w:r w:rsidRPr="005047D6">
        <w:t xml:space="preserve">.  </w:t>
      </w:r>
      <w:proofErr w:type="gramStart"/>
      <w:r w:rsidRPr="005047D6">
        <w:t>In the event that</w:t>
      </w:r>
      <w:proofErr w:type="gramEnd"/>
      <w:r w:rsidRPr="005047D6">
        <w:t xml:space="preserve"> performance tests are required pursuant to Specific Condition </w:t>
      </w:r>
      <w:r w:rsidRPr="005047D6">
        <w:rPr>
          <w:b/>
        </w:rPr>
        <w:fldChar w:fldCharType="begin"/>
      </w:r>
      <w:r w:rsidRPr="005047D6">
        <w:rPr>
          <w:b/>
        </w:rPr>
        <w:instrText xml:space="preserve"> REF _Ref520715992 \r \h  \* MERGEFORMAT </w:instrText>
      </w:r>
      <w:r w:rsidRPr="005047D6">
        <w:rPr>
          <w:b/>
        </w:rPr>
      </w:r>
      <w:r w:rsidRPr="005047D6">
        <w:rPr>
          <w:b/>
        </w:rPr>
        <w:fldChar w:fldCharType="separate"/>
      </w:r>
      <w:r w:rsidR="00D31800">
        <w:rPr>
          <w:b/>
        </w:rPr>
        <w:t>G.9</w:t>
      </w:r>
      <w:r w:rsidRPr="005047D6">
        <w:rPr>
          <w:b/>
        </w:rPr>
        <w:fldChar w:fldCharType="end"/>
      </w:r>
      <w:r w:rsidRPr="005047D6">
        <w:t>, the following requirements shall be met.</w:t>
      </w:r>
      <w:bookmarkEnd w:id="250"/>
    </w:p>
    <w:p w14:paraId="44ADE704" w14:textId="6F4A95AA" w:rsidR="000E3C72" w:rsidRPr="005047D6" w:rsidRDefault="000E3C72" w:rsidP="00114020">
      <w:pPr>
        <w:pStyle w:val="ListParagraph"/>
        <w:numPr>
          <w:ilvl w:val="0"/>
          <w:numId w:val="114"/>
        </w:numPr>
        <w:spacing w:after="120"/>
        <w:rPr>
          <w:strike/>
        </w:rPr>
      </w:pPr>
      <w:r w:rsidRPr="005047D6">
        <w:rPr>
          <w:i/>
        </w:rPr>
        <w:t>Testing Procedures.</w:t>
      </w:r>
      <w:r w:rsidRPr="005047D6">
        <w:t xml:space="preserve">  The performance test must be conducted according to the in-use testing procedures in 40 CFR 1039, Subpart F.  </w:t>
      </w:r>
    </w:p>
    <w:p w14:paraId="1B5C95DE" w14:textId="24241DC4" w:rsidR="000E3C72" w:rsidRPr="005047D6" w:rsidRDefault="000E3C72" w:rsidP="00114020">
      <w:pPr>
        <w:pStyle w:val="ListParagraph"/>
        <w:numPr>
          <w:ilvl w:val="0"/>
          <w:numId w:val="114"/>
        </w:numPr>
        <w:spacing w:after="120"/>
        <w:contextualSpacing w:val="0"/>
        <w:rPr>
          <w:strike/>
        </w:rPr>
      </w:pPr>
      <w:r w:rsidRPr="005047D6">
        <w:rPr>
          <w:i/>
        </w:rPr>
        <w:t>NTE Requirements</w:t>
      </w:r>
      <w:r w:rsidRPr="005047D6">
        <w:t xml:space="preserve">.  Exhaust emissions from this RICE must not exceed the not-to-exceed (NTE) numerical requirements, rounded to the same number of decimal places as the applicable standards in Specific Conditions </w:t>
      </w:r>
      <w:r w:rsidRPr="005047D6">
        <w:rPr>
          <w:b/>
          <w:color w:val="000000"/>
          <w:szCs w:val="22"/>
        </w:rPr>
        <w:fldChar w:fldCharType="begin"/>
      </w:r>
      <w:r w:rsidRPr="005047D6">
        <w:rPr>
          <w:b/>
          <w:color w:val="000000"/>
          <w:szCs w:val="22"/>
        </w:rPr>
        <w:instrText xml:space="preserve"> REF _Ref520714465 \r \h  \* MERGEFORMAT </w:instrText>
      </w:r>
      <w:r w:rsidRPr="005047D6">
        <w:rPr>
          <w:b/>
          <w:color w:val="000000"/>
          <w:szCs w:val="22"/>
        </w:rPr>
      </w:r>
      <w:r w:rsidRPr="005047D6">
        <w:rPr>
          <w:b/>
          <w:color w:val="000000"/>
          <w:szCs w:val="22"/>
        </w:rPr>
        <w:fldChar w:fldCharType="separate"/>
      </w:r>
      <w:r w:rsidR="00D31800">
        <w:rPr>
          <w:b/>
          <w:color w:val="000000"/>
          <w:szCs w:val="22"/>
        </w:rPr>
        <w:t>G.3</w:t>
      </w:r>
      <w:r w:rsidRPr="005047D6">
        <w:rPr>
          <w:b/>
          <w:color w:val="000000"/>
          <w:szCs w:val="22"/>
        </w:rPr>
        <w:fldChar w:fldCharType="end"/>
      </w:r>
      <w:r w:rsidRPr="005047D6">
        <w:rPr>
          <w:color w:val="000000"/>
          <w:szCs w:val="22"/>
        </w:rPr>
        <w:t xml:space="preserve">, </w:t>
      </w:r>
      <w:r w:rsidRPr="005047D6">
        <w:rPr>
          <w:b/>
          <w:color w:val="000000"/>
          <w:szCs w:val="22"/>
        </w:rPr>
        <w:fldChar w:fldCharType="begin"/>
      </w:r>
      <w:r w:rsidRPr="005047D6">
        <w:rPr>
          <w:b/>
          <w:color w:val="000000"/>
          <w:szCs w:val="22"/>
        </w:rPr>
        <w:instrText xml:space="preserve"> REF _Ref520714467 \r \h  \* MERGEFORMAT </w:instrText>
      </w:r>
      <w:r w:rsidRPr="005047D6">
        <w:rPr>
          <w:b/>
          <w:color w:val="000000"/>
          <w:szCs w:val="22"/>
        </w:rPr>
      </w:r>
      <w:r w:rsidRPr="005047D6">
        <w:rPr>
          <w:b/>
          <w:color w:val="000000"/>
          <w:szCs w:val="22"/>
        </w:rPr>
        <w:fldChar w:fldCharType="separate"/>
      </w:r>
      <w:r w:rsidR="00D31800">
        <w:rPr>
          <w:b/>
          <w:color w:val="000000"/>
          <w:szCs w:val="22"/>
        </w:rPr>
        <w:t>G.4</w:t>
      </w:r>
      <w:r w:rsidRPr="005047D6">
        <w:rPr>
          <w:b/>
          <w:color w:val="000000"/>
          <w:szCs w:val="22"/>
        </w:rPr>
        <w:fldChar w:fldCharType="end"/>
      </w:r>
      <w:r w:rsidRPr="005047D6">
        <w:rPr>
          <w:color w:val="000000"/>
          <w:szCs w:val="22"/>
        </w:rPr>
        <w:t xml:space="preserve"> and </w:t>
      </w:r>
      <w:r w:rsidRPr="005047D6">
        <w:rPr>
          <w:b/>
          <w:color w:val="000000"/>
          <w:szCs w:val="22"/>
        </w:rPr>
        <w:fldChar w:fldCharType="begin"/>
      </w:r>
      <w:r w:rsidRPr="005047D6">
        <w:rPr>
          <w:b/>
          <w:color w:val="000000"/>
          <w:szCs w:val="22"/>
        </w:rPr>
        <w:instrText xml:space="preserve"> REF _Ref520714469 \r \h  \* MERGEFORMAT </w:instrText>
      </w:r>
      <w:r w:rsidRPr="005047D6">
        <w:rPr>
          <w:b/>
          <w:color w:val="000000"/>
          <w:szCs w:val="22"/>
        </w:rPr>
      </w:r>
      <w:r w:rsidRPr="005047D6">
        <w:rPr>
          <w:b/>
          <w:color w:val="000000"/>
          <w:szCs w:val="22"/>
        </w:rPr>
        <w:fldChar w:fldCharType="separate"/>
      </w:r>
      <w:r w:rsidR="00D31800">
        <w:rPr>
          <w:b/>
          <w:color w:val="000000"/>
          <w:szCs w:val="22"/>
        </w:rPr>
        <w:t>G.5</w:t>
      </w:r>
      <w:r w:rsidRPr="005047D6">
        <w:rPr>
          <w:b/>
          <w:color w:val="000000"/>
          <w:szCs w:val="22"/>
        </w:rPr>
        <w:fldChar w:fldCharType="end"/>
      </w:r>
      <w:r w:rsidRPr="005047D6">
        <w:rPr>
          <w:color w:val="000000"/>
          <w:szCs w:val="22"/>
        </w:rPr>
        <w:t>, determined from the following equation:</w:t>
      </w:r>
    </w:p>
    <w:p w14:paraId="5D845241" w14:textId="275A5491" w:rsidR="000E3C72" w:rsidRPr="005047D6" w:rsidRDefault="000E3C72" w:rsidP="000E3C72">
      <w:pPr>
        <w:pStyle w:val="ListParagraph"/>
        <w:spacing w:after="120"/>
        <w:contextualSpacing w:val="0"/>
        <w:jc w:val="center"/>
      </w:pPr>
      <w:r w:rsidRPr="005047D6">
        <w:t>NTE requirement for each pollutant = (1.25) x (STD)</w:t>
      </w:r>
    </w:p>
    <w:p w14:paraId="4F6B0AE1" w14:textId="2DFCC4A9" w:rsidR="000E3C72" w:rsidRPr="005047D6" w:rsidRDefault="000E3C72" w:rsidP="000E3C72">
      <w:pPr>
        <w:pStyle w:val="ListParagraph"/>
        <w:spacing w:after="120"/>
        <w:contextualSpacing w:val="0"/>
      </w:pPr>
      <w:r w:rsidRPr="005047D6">
        <w:t>Where:</w:t>
      </w:r>
    </w:p>
    <w:p w14:paraId="5511637B" w14:textId="5ED2B395" w:rsidR="000E3C72" w:rsidRPr="005047D6" w:rsidRDefault="000E3C72" w:rsidP="00162A38">
      <w:pPr>
        <w:pStyle w:val="ListParagraph"/>
        <w:spacing w:after="120"/>
        <w:contextualSpacing w:val="0"/>
        <w:rPr>
          <w:color w:val="000000"/>
          <w:szCs w:val="22"/>
        </w:rPr>
      </w:pPr>
      <w:r w:rsidRPr="005047D6">
        <w:t>STD</w:t>
      </w:r>
      <w:r w:rsidR="00162A38" w:rsidRPr="005047D6">
        <w:t xml:space="preserve"> = The standard specified for that pollutant in 40 CFR 89.112 (See Specific Conditions </w:t>
      </w:r>
      <w:r w:rsidR="00162A38" w:rsidRPr="005047D6">
        <w:rPr>
          <w:b/>
          <w:color w:val="000000"/>
          <w:szCs w:val="22"/>
        </w:rPr>
        <w:fldChar w:fldCharType="begin"/>
      </w:r>
      <w:r w:rsidR="00162A38" w:rsidRPr="005047D6">
        <w:rPr>
          <w:b/>
          <w:color w:val="000000"/>
          <w:szCs w:val="22"/>
        </w:rPr>
        <w:instrText xml:space="preserve"> REF _Ref520714465 \r \h  \* MERGEFORMAT </w:instrText>
      </w:r>
      <w:r w:rsidR="00162A38" w:rsidRPr="005047D6">
        <w:rPr>
          <w:b/>
          <w:color w:val="000000"/>
          <w:szCs w:val="22"/>
        </w:rPr>
      </w:r>
      <w:r w:rsidR="00162A38" w:rsidRPr="005047D6">
        <w:rPr>
          <w:b/>
          <w:color w:val="000000"/>
          <w:szCs w:val="22"/>
        </w:rPr>
        <w:fldChar w:fldCharType="separate"/>
      </w:r>
      <w:r w:rsidR="00D31800">
        <w:rPr>
          <w:b/>
          <w:color w:val="000000"/>
          <w:szCs w:val="22"/>
        </w:rPr>
        <w:t>G.3</w:t>
      </w:r>
      <w:r w:rsidR="00162A38" w:rsidRPr="005047D6">
        <w:rPr>
          <w:b/>
          <w:color w:val="000000"/>
          <w:szCs w:val="22"/>
        </w:rPr>
        <w:fldChar w:fldCharType="end"/>
      </w:r>
      <w:r w:rsidR="00162A38" w:rsidRPr="005047D6">
        <w:rPr>
          <w:color w:val="000000"/>
          <w:szCs w:val="22"/>
        </w:rPr>
        <w:t xml:space="preserve">, </w:t>
      </w:r>
      <w:r w:rsidR="00162A38" w:rsidRPr="005047D6">
        <w:rPr>
          <w:b/>
          <w:color w:val="000000"/>
          <w:szCs w:val="22"/>
        </w:rPr>
        <w:fldChar w:fldCharType="begin"/>
      </w:r>
      <w:r w:rsidR="00162A38" w:rsidRPr="005047D6">
        <w:rPr>
          <w:b/>
          <w:color w:val="000000"/>
          <w:szCs w:val="22"/>
        </w:rPr>
        <w:instrText xml:space="preserve"> REF _Ref520714467 \r \h  \* MERGEFORMAT </w:instrText>
      </w:r>
      <w:r w:rsidR="00162A38" w:rsidRPr="005047D6">
        <w:rPr>
          <w:b/>
          <w:color w:val="000000"/>
          <w:szCs w:val="22"/>
        </w:rPr>
      </w:r>
      <w:r w:rsidR="00162A38" w:rsidRPr="005047D6">
        <w:rPr>
          <w:b/>
          <w:color w:val="000000"/>
          <w:szCs w:val="22"/>
        </w:rPr>
        <w:fldChar w:fldCharType="separate"/>
      </w:r>
      <w:r w:rsidR="00D31800">
        <w:rPr>
          <w:b/>
          <w:color w:val="000000"/>
          <w:szCs w:val="22"/>
        </w:rPr>
        <w:t>G.4</w:t>
      </w:r>
      <w:r w:rsidR="00162A38" w:rsidRPr="005047D6">
        <w:rPr>
          <w:b/>
          <w:color w:val="000000"/>
          <w:szCs w:val="22"/>
        </w:rPr>
        <w:fldChar w:fldCharType="end"/>
      </w:r>
      <w:r w:rsidR="00162A38" w:rsidRPr="005047D6">
        <w:rPr>
          <w:color w:val="000000"/>
          <w:szCs w:val="22"/>
        </w:rPr>
        <w:t xml:space="preserve"> and </w:t>
      </w:r>
      <w:r w:rsidR="00162A38" w:rsidRPr="005047D6">
        <w:rPr>
          <w:b/>
          <w:color w:val="000000"/>
          <w:szCs w:val="22"/>
        </w:rPr>
        <w:fldChar w:fldCharType="begin"/>
      </w:r>
      <w:r w:rsidR="00162A38" w:rsidRPr="005047D6">
        <w:rPr>
          <w:b/>
          <w:color w:val="000000"/>
          <w:szCs w:val="22"/>
        </w:rPr>
        <w:instrText xml:space="preserve"> REF _Ref520714469 \r \h  \* MERGEFORMAT </w:instrText>
      </w:r>
      <w:r w:rsidR="00162A38" w:rsidRPr="005047D6">
        <w:rPr>
          <w:b/>
          <w:color w:val="000000"/>
          <w:szCs w:val="22"/>
        </w:rPr>
      </w:r>
      <w:r w:rsidR="00162A38" w:rsidRPr="005047D6">
        <w:rPr>
          <w:b/>
          <w:color w:val="000000"/>
          <w:szCs w:val="22"/>
        </w:rPr>
        <w:fldChar w:fldCharType="separate"/>
      </w:r>
      <w:r w:rsidR="00D31800">
        <w:rPr>
          <w:b/>
          <w:color w:val="000000"/>
          <w:szCs w:val="22"/>
        </w:rPr>
        <w:t>G.5</w:t>
      </w:r>
      <w:r w:rsidR="00162A38" w:rsidRPr="005047D6">
        <w:rPr>
          <w:b/>
          <w:color w:val="000000"/>
          <w:szCs w:val="22"/>
        </w:rPr>
        <w:fldChar w:fldCharType="end"/>
      </w:r>
      <w:r w:rsidR="00162A38" w:rsidRPr="005047D6">
        <w:rPr>
          <w:color w:val="000000"/>
          <w:szCs w:val="22"/>
        </w:rPr>
        <w:t>), as applicable.</w:t>
      </w:r>
    </w:p>
    <w:p w14:paraId="4E33235F" w14:textId="7FD0D227" w:rsidR="00162A38" w:rsidRPr="005047D6" w:rsidRDefault="00162A38" w:rsidP="000E3C72">
      <w:pPr>
        <w:pStyle w:val="ListParagraph"/>
        <w:spacing w:after="120"/>
      </w:pPr>
      <w:r w:rsidRPr="005047D6">
        <w:t>Alternatively, this stationary CI ICE may follow the testing procedures specified in 40 CFR 60.4213, as appropriate (See Appendix NSPS, Subpart IIII – Standards of Performance for Stationary CI ICE, included in the Appendices Section of this permit).</w:t>
      </w:r>
    </w:p>
    <w:p w14:paraId="4D279592" w14:textId="65DC086C" w:rsidR="00162A38" w:rsidRPr="005047D6" w:rsidRDefault="00162A38" w:rsidP="00162A38">
      <w:pPr>
        <w:pStyle w:val="ListParagraph"/>
        <w:spacing w:after="120"/>
        <w:ind w:left="360"/>
      </w:pPr>
      <w:r w:rsidRPr="005047D6">
        <w:t>[40 CFR 60.4212(a) &amp; (c)]</w:t>
      </w:r>
    </w:p>
    <w:p w14:paraId="2C541AEC" w14:textId="4D339A6B" w:rsidR="00E3729B" w:rsidRPr="005047D6" w:rsidRDefault="00E3729B" w:rsidP="00114020">
      <w:pPr>
        <w:numPr>
          <w:ilvl w:val="0"/>
          <w:numId w:val="111"/>
        </w:numPr>
        <w:tabs>
          <w:tab w:val="left" w:pos="1080"/>
          <w:tab w:val="left" w:pos="1440"/>
        </w:tabs>
        <w:spacing w:after="120"/>
        <w:rPr>
          <w:u w:val="double"/>
        </w:rPr>
      </w:pPr>
      <w:r w:rsidRPr="005047D6">
        <w:rPr>
          <w:u w:val="single"/>
        </w:rPr>
        <w:t>Common Testing Requirements</w:t>
      </w:r>
      <w:r w:rsidRPr="005047D6">
        <w:t xml:space="preserve">.  </w:t>
      </w:r>
      <w:r w:rsidR="00227DEB" w:rsidRPr="005047D6">
        <w:t>Unless otherwise specified, a</w:t>
      </w:r>
      <w:r w:rsidRPr="005047D6">
        <w:t>ny tests, if required, shall be conducted in accordance with the requirements and procedures specified in Appendix TR, Facility-Wide Testing Requirements, of this permit.  [Rule 62-297.310, F.A.C.]</w:t>
      </w:r>
    </w:p>
    <w:p w14:paraId="6F1781DC" w14:textId="7D6EC527" w:rsidR="00773CE7" w:rsidRPr="005047D6" w:rsidRDefault="00773CE7" w:rsidP="00773CE7">
      <w:pPr>
        <w:tabs>
          <w:tab w:val="left" w:pos="1080"/>
          <w:tab w:val="left" w:pos="1440"/>
        </w:tabs>
        <w:spacing w:after="120"/>
        <w:rPr>
          <w:u w:val="single"/>
        </w:rPr>
      </w:pPr>
      <w:r w:rsidRPr="005047D6">
        <w:rPr>
          <w:b/>
          <w:u w:val="single"/>
        </w:rPr>
        <w:t xml:space="preserve">Recordkeeping </w:t>
      </w:r>
      <w:r w:rsidR="00162A38" w:rsidRPr="005047D6">
        <w:rPr>
          <w:b/>
          <w:u w:val="single"/>
        </w:rPr>
        <w:t xml:space="preserve">and Reporting </w:t>
      </w:r>
      <w:r w:rsidRPr="005047D6">
        <w:rPr>
          <w:b/>
          <w:u w:val="single"/>
        </w:rPr>
        <w:t>Requirements</w:t>
      </w:r>
    </w:p>
    <w:p w14:paraId="1553DDCA" w14:textId="41563C12" w:rsidR="004D1089" w:rsidRPr="005047D6" w:rsidRDefault="004D1089" w:rsidP="00114020">
      <w:pPr>
        <w:numPr>
          <w:ilvl w:val="0"/>
          <w:numId w:val="111"/>
        </w:numPr>
        <w:tabs>
          <w:tab w:val="left" w:pos="1080"/>
          <w:tab w:val="left" w:pos="1440"/>
        </w:tabs>
        <w:spacing w:after="120"/>
      </w:pPr>
      <w:r w:rsidRPr="005047D6">
        <w:rPr>
          <w:u w:val="single"/>
        </w:rPr>
        <w:t>Testing Notification</w:t>
      </w:r>
      <w:r w:rsidRPr="005047D6">
        <w:t xml:space="preserve">.  At such time that the requirements of Specific Condition </w:t>
      </w:r>
      <w:r w:rsidRPr="005047D6">
        <w:rPr>
          <w:b/>
        </w:rPr>
        <w:fldChar w:fldCharType="begin"/>
      </w:r>
      <w:r w:rsidRPr="005047D6">
        <w:rPr>
          <w:b/>
        </w:rPr>
        <w:instrText xml:space="preserve"> REF _Ref520719776 \r \h  \* MERGEFORMAT </w:instrText>
      </w:r>
      <w:r w:rsidRPr="005047D6">
        <w:rPr>
          <w:b/>
        </w:rPr>
      </w:r>
      <w:r w:rsidRPr="005047D6">
        <w:rPr>
          <w:b/>
        </w:rPr>
        <w:fldChar w:fldCharType="separate"/>
      </w:r>
      <w:r w:rsidR="00D31800">
        <w:rPr>
          <w:b/>
        </w:rPr>
        <w:t>G.10</w:t>
      </w:r>
      <w:r w:rsidRPr="005047D6">
        <w:rPr>
          <w:b/>
        </w:rPr>
        <w:fldChar w:fldCharType="end"/>
      </w:r>
      <w:r w:rsidRPr="005047D6">
        <w:t xml:space="preserve"> become applicable, the permittee shall notify the Compliance Authority of the date by which the initial compliance test must be performed.  [Rule 62-213.440(1), F.A.C.]</w:t>
      </w:r>
    </w:p>
    <w:p w14:paraId="73DDC636" w14:textId="73F93FED" w:rsidR="00773CE7" w:rsidRPr="005047D6" w:rsidRDefault="004D1089" w:rsidP="00114020">
      <w:pPr>
        <w:numPr>
          <w:ilvl w:val="0"/>
          <w:numId w:val="111"/>
        </w:numPr>
        <w:tabs>
          <w:tab w:val="left" w:pos="1080"/>
          <w:tab w:val="left" w:pos="1440"/>
        </w:tabs>
        <w:spacing w:after="120"/>
      </w:pPr>
      <w:bookmarkStart w:id="251" w:name="_Hlk520724134"/>
      <w:r w:rsidRPr="005047D6">
        <w:rPr>
          <w:color w:val="000000"/>
          <w:u w:val="single"/>
        </w:rPr>
        <w:t xml:space="preserve">Hours of Operation </w:t>
      </w:r>
      <w:r w:rsidR="00773CE7" w:rsidRPr="005047D6">
        <w:rPr>
          <w:color w:val="000000"/>
          <w:u w:val="single"/>
        </w:rPr>
        <w:t>Records</w:t>
      </w:r>
      <w:r w:rsidR="00773CE7" w:rsidRPr="005047D6">
        <w:rPr>
          <w:color w:val="000000"/>
        </w:rPr>
        <w:t>.  Owner or operator must keep records of the operation of the engine in emergency and non-emergency service that are recorded through the non-resettable hour meter.  The owner or operator must record the time of operation of the engine and the reason the engine was in operation during that time.  [40 CFR 60.4214</w:t>
      </w:r>
      <w:r w:rsidR="00E3729B" w:rsidRPr="005047D6">
        <w:rPr>
          <w:color w:val="000000"/>
        </w:rPr>
        <w:t>(b)</w:t>
      </w:r>
      <w:r w:rsidR="00773CE7" w:rsidRPr="005047D6">
        <w:rPr>
          <w:color w:val="000000"/>
        </w:rPr>
        <w:t>]</w:t>
      </w:r>
      <w:bookmarkEnd w:id="251"/>
    </w:p>
    <w:p w14:paraId="66FB6366" w14:textId="7B7E7C67" w:rsidR="00E3729B" w:rsidRPr="005047D6" w:rsidRDefault="00E3729B" w:rsidP="00114020">
      <w:pPr>
        <w:numPr>
          <w:ilvl w:val="0"/>
          <w:numId w:val="111"/>
        </w:numPr>
        <w:tabs>
          <w:tab w:val="left" w:pos="0"/>
        </w:tabs>
        <w:suppressAutoHyphens/>
      </w:pPr>
      <w:r w:rsidRPr="005047D6">
        <w:rPr>
          <w:u w:val="single"/>
        </w:rPr>
        <w:t>Maintenance Records</w:t>
      </w:r>
      <w:r w:rsidRPr="005047D6">
        <w:t xml:space="preserve">.  To demonstrate conformance with the manufacturer’s written instructions for maintaining the certified engine and to document when compliance testing must be performed pursuant to Specific Condition </w:t>
      </w:r>
      <w:r w:rsidRPr="005047D6">
        <w:rPr>
          <w:b/>
        </w:rPr>
        <w:fldChar w:fldCharType="begin"/>
      </w:r>
      <w:r w:rsidRPr="005047D6">
        <w:rPr>
          <w:b/>
        </w:rPr>
        <w:instrText xml:space="preserve"> REF _Ref520720731 \r \h  \* MERGEFORMAT </w:instrText>
      </w:r>
      <w:r w:rsidRPr="005047D6">
        <w:rPr>
          <w:b/>
        </w:rPr>
      </w:r>
      <w:r w:rsidRPr="005047D6">
        <w:rPr>
          <w:b/>
        </w:rPr>
        <w:fldChar w:fldCharType="separate"/>
      </w:r>
      <w:r w:rsidR="00D31800">
        <w:rPr>
          <w:b/>
        </w:rPr>
        <w:t>G.8</w:t>
      </w:r>
      <w:r w:rsidRPr="005047D6">
        <w:rPr>
          <w:b/>
        </w:rPr>
        <w:fldChar w:fldCharType="end"/>
      </w:r>
      <w:r w:rsidRPr="005047D6">
        <w:t>, the owner or operator must keep the following records:</w:t>
      </w:r>
    </w:p>
    <w:p w14:paraId="6EE55614" w14:textId="7D3E8958" w:rsidR="00E3729B" w:rsidRPr="005047D6" w:rsidRDefault="00E3729B" w:rsidP="00114020">
      <w:pPr>
        <w:pStyle w:val="ListParagraph"/>
        <w:numPr>
          <w:ilvl w:val="0"/>
          <w:numId w:val="115"/>
        </w:numPr>
        <w:tabs>
          <w:tab w:val="left" w:pos="0"/>
        </w:tabs>
        <w:suppressAutoHyphens/>
        <w:spacing w:after="120"/>
      </w:pPr>
      <w:r w:rsidRPr="005047D6">
        <w:t>Engine manufacturer documentation and certification including compliance with the standards.</w:t>
      </w:r>
    </w:p>
    <w:p w14:paraId="6327EF1A" w14:textId="5AE5D152" w:rsidR="00E3729B" w:rsidRPr="005047D6" w:rsidRDefault="00E3729B" w:rsidP="00114020">
      <w:pPr>
        <w:pStyle w:val="ListParagraph"/>
        <w:numPr>
          <w:ilvl w:val="0"/>
          <w:numId w:val="115"/>
        </w:numPr>
        <w:tabs>
          <w:tab w:val="left" w:pos="0"/>
        </w:tabs>
        <w:suppressAutoHyphens/>
        <w:spacing w:after="120"/>
      </w:pPr>
      <w:r w:rsidRPr="005047D6">
        <w:t>A copy of the manufacturer’s written instructions for operation and maintenance of the certified engine.</w:t>
      </w:r>
    </w:p>
    <w:p w14:paraId="3D9C29BB" w14:textId="016F80DD" w:rsidR="00E3729B" w:rsidRPr="005047D6" w:rsidRDefault="00E3729B" w:rsidP="00114020">
      <w:pPr>
        <w:pStyle w:val="ListParagraph"/>
        <w:numPr>
          <w:ilvl w:val="0"/>
          <w:numId w:val="115"/>
        </w:numPr>
        <w:tabs>
          <w:tab w:val="left" w:pos="0"/>
        </w:tabs>
        <w:suppressAutoHyphens/>
        <w:spacing w:after="120"/>
      </w:pPr>
      <w:r w:rsidRPr="005047D6">
        <w:t>A written maintenance log detailing the date and type of maintenance performed on the engine, as well as any deviations from the manufacturer’s written instruction.</w:t>
      </w:r>
    </w:p>
    <w:p w14:paraId="2DAF6159" w14:textId="545B6405" w:rsidR="00E3729B" w:rsidRPr="005047D6" w:rsidRDefault="00E3729B" w:rsidP="00E3729B">
      <w:pPr>
        <w:pStyle w:val="ListParagraph"/>
        <w:tabs>
          <w:tab w:val="left" w:pos="0"/>
        </w:tabs>
        <w:suppressAutoHyphens/>
        <w:spacing w:after="120"/>
        <w:ind w:left="360"/>
      </w:pPr>
      <w:r w:rsidRPr="005047D6">
        <w:t>[Rule 62-212.440(1), F.A.C.; and, 40 CFR 60.4211(c) &amp; (g)]</w:t>
      </w:r>
    </w:p>
    <w:p w14:paraId="55DF54BF" w14:textId="77777777" w:rsidR="00227DEB" w:rsidRPr="005047D6" w:rsidRDefault="00227DEB" w:rsidP="00114020">
      <w:pPr>
        <w:numPr>
          <w:ilvl w:val="0"/>
          <w:numId w:val="111"/>
        </w:numPr>
        <w:tabs>
          <w:tab w:val="left" w:pos="1080"/>
          <w:tab w:val="left" w:pos="1440"/>
        </w:tabs>
        <w:spacing w:after="120"/>
      </w:pPr>
      <w:r w:rsidRPr="005047D6">
        <w:rPr>
          <w:u w:val="single"/>
        </w:rPr>
        <w:t>Other Reporting Requirements</w:t>
      </w:r>
      <w:r w:rsidRPr="005047D6">
        <w:t>.  See Appendix RR, Facility-Wide Reporting Requirements, for additional reporting requirements.  [Rule 62-213.440(1)(b), F.A.C.]</w:t>
      </w:r>
    </w:p>
    <w:p w14:paraId="0CFABA1D" w14:textId="7388F551" w:rsidR="003A02A8" w:rsidRPr="005047D6" w:rsidRDefault="003A02A8" w:rsidP="003A02A8">
      <w:pPr>
        <w:tabs>
          <w:tab w:val="left" w:pos="360"/>
        </w:tabs>
        <w:spacing w:after="120"/>
        <w:rPr>
          <w:b/>
          <w:u w:val="single"/>
        </w:rPr>
      </w:pPr>
      <w:r w:rsidRPr="005047D6">
        <w:rPr>
          <w:b/>
          <w:u w:val="single"/>
        </w:rPr>
        <w:t>General Provisions</w:t>
      </w:r>
    </w:p>
    <w:p w14:paraId="28E107A4" w14:textId="34F00216" w:rsidR="003A02A8" w:rsidRPr="005047D6" w:rsidRDefault="003A02A8" w:rsidP="00114020">
      <w:pPr>
        <w:numPr>
          <w:ilvl w:val="0"/>
          <w:numId w:val="111"/>
        </w:numPr>
        <w:suppressAutoHyphens/>
        <w:autoSpaceDE w:val="0"/>
        <w:autoSpaceDN w:val="0"/>
        <w:adjustRightInd w:val="0"/>
        <w:spacing w:after="120"/>
        <w:rPr>
          <w:color w:val="000000"/>
          <w:szCs w:val="22"/>
        </w:rPr>
      </w:pPr>
      <w:r w:rsidRPr="005047D6">
        <w:rPr>
          <w:szCs w:val="22"/>
          <w:u w:val="single"/>
        </w:rPr>
        <w:t>40 CFR 60, Subpart A - General Provisions</w:t>
      </w:r>
      <w:r w:rsidRPr="005047D6">
        <w:rPr>
          <w:szCs w:val="22"/>
        </w:rPr>
        <w:t xml:space="preserve">.  The owner or operator shall comply with the applicable requirements of 40 CFR 60 Subpart A, General Provisions, as specified below.  </w:t>
      </w:r>
      <w:hyperlink r:id="rId69" w:history="1">
        <w:r w:rsidRPr="005047D6">
          <w:rPr>
            <w:rStyle w:val="Hyperlink"/>
            <w:u w:val="none"/>
          </w:rPr>
          <w:t>Link to Subpart A</w:t>
        </w:r>
      </w:hyperlink>
      <w:r w:rsidRPr="005047D6">
        <w:rPr>
          <w:szCs w:val="22"/>
        </w:rPr>
        <w:t xml:space="preserve"> </w:t>
      </w:r>
      <w:r w:rsidR="00DC5409" w:rsidRPr="005047D6">
        <w:rPr>
          <w:szCs w:val="22"/>
        </w:rPr>
        <w:t xml:space="preserve">and </w:t>
      </w:r>
      <w:hyperlink r:id="rId70" w:tooltip=" " w:history="1">
        <w:r w:rsidR="00DC5409" w:rsidRPr="005047D6">
          <w:rPr>
            <w:rStyle w:val="Hyperlink"/>
            <w:szCs w:val="22"/>
            <w:u w:val="none"/>
          </w:rPr>
          <w:t>Link to Subpart IIII</w:t>
        </w:r>
      </w:hyperlink>
      <w:r w:rsidR="00DC5409" w:rsidRPr="005047D6">
        <w:rPr>
          <w:szCs w:val="22"/>
        </w:rPr>
        <w:t xml:space="preserve">. </w:t>
      </w:r>
      <w:r w:rsidRPr="005047D6">
        <w:rPr>
          <w:color w:val="000000"/>
          <w:szCs w:val="22"/>
        </w:rPr>
        <w:t xml:space="preserve">  </w:t>
      </w:r>
    </w:p>
    <w:tbl>
      <w:tblPr>
        <w:tblW w:w="0" w:type="auto"/>
        <w:tblInd w:w="468"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1E0" w:firstRow="1" w:lastRow="1" w:firstColumn="1" w:lastColumn="1" w:noHBand="0" w:noVBand="0"/>
      </w:tblPr>
      <w:tblGrid>
        <w:gridCol w:w="3288"/>
        <w:gridCol w:w="6294"/>
      </w:tblGrid>
      <w:tr w:rsidR="003A02A8" w:rsidRPr="005047D6" w14:paraId="60B197E2" w14:textId="77777777" w:rsidTr="003A02A8">
        <w:trPr>
          <w:tblHeader/>
        </w:trPr>
        <w:tc>
          <w:tcPr>
            <w:tcW w:w="3330" w:type="dxa"/>
            <w:tcBorders>
              <w:top w:val="single" w:sz="12" w:space="0" w:color="auto"/>
              <w:left w:val="single" w:sz="12" w:space="0" w:color="auto"/>
              <w:bottom w:val="single" w:sz="12" w:space="0" w:color="auto"/>
              <w:right w:val="single" w:sz="6" w:space="0" w:color="auto"/>
            </w:tcBorders>
            <w:vAlign w:val="center"/>
            <w:hideMark/>
          </w:tcPr>
          <w:p w14:paraId="5BEEF86A" w14:textId="77777777" w:rsidR="003A02A8" w:rsidRPr="005047D6" w:rsidRDefault="003A02A8">
            <w:pPr>
              <w:tabs>
                <w:tab w:val="left" w:pos="360"/>
                <w:tab w:val="left" w:pos="720"/>
                <w:tab w:val="left" w:pos="1080"/>
                <w:tab w:val="left" w:pos="1440"/>
              </w:tabs>
              <w:autoSpaceDE w:val="0"/>
              <w:autoSpaceDN w:val="0"/>
              <w:adjustRightInd w:val="0"/>
              <w:jc w:val="center"/>
              <w:rPr>
                <w:b/>
                <w:szCs w:val="22"/>
              </w:rPr>
            </w:pPr>
            <w:r w:rsidRPr="005047D6">
              <w:rPr>
                <w:b/>
                <w:szCs w:val="22"/>
              </w:rPr>
              <w:t>General Provisions Citation</w:t>
            </w:r>
          </w:p>
        </w:tc>
        <w:tc>
          <w:tcPr>
            <w:tcW w:w="6390" w:type="dxa"/>
            <w:tcBorders>
              <w:top w:val="single" w:sz="12" w:space="0" w:color="auto"/>
              <w:left w:val="single" w:sz="6" w:space="0" w:color="auto"/>
              <w:bottom w:val="single" w:sz="12" w:space="0" w:color="auto"/>
              <w:right w:val="single" w:sz="12" w:space="0" w:color="auto"/>
            </w:tcBorders>
            <w:vAlign w:val="center"/>
            <w:hideMark/>
          </w:tcPr>
          <w:p w14:paraId="79BCF28A" w14:textId="77777777" w:rsidR="003A02A8" w:rsidRPr="005047D6" w:rsidRDefault="003A02A8">
            <w:pPr>
              <w:tabs>
                <w:tab w:val="left" w:pos="360"/>
                <w:tab w:val="left" w:pos="720"/>
                <w:tab w:val="left" w:pos="1080"/>
                <w:tab w:val="left" w:pos="1440"/>
              </w:tabs>
              <w:autoSpaceDE w:val="0"/>
              <w:autoSpaceDN w:val="0"/>
              <w:adjustRightInd w:val="0"/>
              <w:rPr>
                <w:b/>
                <w:szCs w:val="22"/>
              </w:rPr>
            </w:pPr>
            <w:r w:rsidRPr="005047D6">
              <w:rPr>
                <w:b/>
                <w:szCs w:val="22"/>
              </w:rPr>
              <w:t>Subject of Citation</w:t>
            </w:r>
          </w:p>
        </w:tc>
      </w:tr>
      <w:tr w:rsidR="003A02A8" w:rsidRPr="005047D6" w14:paraId="6A06EDF4" w14:textId="77777777" w:rsidTr="003A02A8">
        <w:tc>
          <w:tcPr>
            <w:tcW w:w="3330" w:type="dxa"/>
            <w:tcBorders>
              <w:top w:val="single" w:sz="12" w:space="0" w:color="auto"/>
              <w:left w:val="single" w:sz="12" w:space="0" w:color="auto"/>
              <w:bottom w:val="single" w:sz="6" w:space="0" w:color="auto"/>
              <w:right w:val="single" w:sz="6" w:space="0" w:color="auto"/>
            </w:tcBorders>
            <w:hideMark/>
          </w:tcPr>
          <w:p w14:paraId="181CADC5" w14:textId="77777777" w:rsidR="003A02A8" w:rsidRPr="005047D6" w:rsidRDefault="003A02A8">
            <w:pPr>
              <w:tabs>
                <w:tab w:val="left" w:pos="360"/>
                <w:tab w:val="left" w:pos="720"/>
                <w:tab w:val="left" w:pos="1080"/>
                <w:tab w:val="left" w:pos="1440"/>
              </w:tabs>
              <w:jc w:val="center"/>
              <w:rPr>
                <w:szCs w:val="22"/>
              </w:rPr>
            </w:pPr>
            <w:r w:rsidRPr="005047D6">
              <w:rPr>
                <w:szCs w:val="22"/>
              </w:rPr>
              <w:t>§ 60.1</w:t>
            </w:r>
          </w:p>
        </w:tc>
        <w:tc>
          <w:tcPr>
            <w:tcW w:w="6390" w:type="dxa"/>
            <w:tcBorders>
              <w:top w:val="single" w:sz="12" w:space="0" w:color="auto"/>
              <w:left w:val="single" w:sz="6" w:space="0" w:color="auto"/>
              <w:bottom w:val="single" w:sz="6" w:space="0" w:color="auto"/>
              <w:right w:val="single" w:sz="12" w:space="0" w:color="auto"/>
            </w:tcBorders>
            <w:hideMark/>
          </w:tcPr>
          <w:p w14:paraId="1F430AED" w14:textId="77777777" w:rsidR="003A02A8" w:rsidRPr="005047D6" w:rsidRDefault="003A02A8">
            <w:pPr>
              <w:tabs>
                <w:tab w:val="left" w:pos="360"/>
                <w:tab w:val="left" w:pos="720"/>
                <w:tab w:val="left" w:pos="1080"/>
                <w:tab w:val="left" w:pos="1440"/>
              </w:tabs>
              <w:autoSpaceDE w:val="0"/>
              <w:autoSpaceDN w:val="0"/>
              <w:adjustRightInd w:val="0"/>
              <w:rPr>
                <w:szCs w:val="22"/>
              </w:rPr>
            </w:pPr>
            <w:r w:rsidRPr="005047D6">
              <w:rPr>
                <w:szCs w:val="22"/>
              </w:rPr>
              <w:t>General applicability of the General Provisions</w:t>
            </w:r>
          </w:p>
        </w:tc>
      </w:tr>
      <w:tr w:rsidR="003A02A8" w:rsidRPr="005047D6" w14:paraId="7B888A9F" w14:textId="77777777" w:rsidTr="003A02A8">
        <w:tc>
          <w:tcPr>
            <w:tcW w:w="3330" w:type="dxa"/>
            <w:tcBorders>
              <w:top w:val="single" w:sz="6" w:space="0" w:color="auto"/>
              <w:left w:val="single" w:sz="12" w:space="0" w:color="auto"/>
              <w:bottom w:val="single" w:sz="6" w:space="0" w:color="auto"/>
              <w:right w:val="single" w:sz="6" w:space="0" w:color="auto"/>
            </w:tcBorders>
            <w:hideMark/>
          </w:tcPr>
          <w:p w14:paraId="26E38AE6" w14:textId="77777777" w:rsidR="003A02A8" w:rsidRPr="005047D6" w:rsidRDefault="003A02A8">
            <w:pPr>
              <w:tabs>
                <w:tab w:val="left" w:pos="360"/>
                <w:tab w:val="left" w:pos="720"/>
                <w:tab w:val="left" w:pos="1080"/>
                <w:tab w:val="left" w:pos="1440"/>
              </w:tabs>
              <w:jc w:val="center"/>
              <w:rPr>
                <w:szCs w:val="22"/>
              </w:rPr>
            </w:pPr>
            <w:r w:rsidRPr="005047D6">
              <w:rPr>
                <w:szCs w:val="22"/>
              </w:rPr>
              <w:t>§ 60.2</w:t>
            </w:r>
          </w:p>
        </w:tc>
        <w:tc>
          <w:tcPr>
            <w:tcW w:w="6390" w:type="dxa"/>
            <w:tcBorders>
              <w:top w:val="single" w:sz="6" w:space="0" w:color="auto"/>
              <w:left w:val="single" w:sz="6" w:space="0" w:color="auto"/>
              <w:bottom w:val="single" w:sz="6" w:space="0" w:color="auto"/>
              <w:right w:val="single" w:sz="12" w:space="0" w:color="auto"/>
            </w:tcBorders>
            <w:hideMark/>
          </w:tcPr>
          <w:p w14:paraId="02546A8E" w14:textId="77777777" w:rsidR="003A02A8" w:rsidRPr="005047D6" w:rsidRDefault="003A02A8">
            <w:pPr>
              <w:tabs>
                <w:tab w:val="left" w:pos="360"/>
                <w:tab w:val="left" w:pos="720"/>
                <w:tab w:val="left" w:pos="1080"/>
                <w:tab w:val="left" w:pos="1440"/>
              </w:tabs>
              <w:autoSpaceDE w:val="0"/>
              <w:autoSpaceDN w:val="0"/>
              <w:adjustRightInd w:val="0"/>
              <w:rPr>
                <w:szCs w:val="22"/>
              </w:rPr>
            </w:pPr>
            <w:r w:rsidRPr="005047D6">
              <w:rPr>
                <w:szCs w:val="22"/>
              </w:rPr>
              <w:t>Definitions (see also § 60.4219)</w:t>
            </w:r>
          </w:p>
        </w:tc>
      </w:tr>
      <w:tr w:rsidR="003A02A8" w:rsidRPr="005047D6" w14:paraId="0E2359EA" w14:textId="77777777" w:rsidTr="003A02A8">
        <w:tc>
          <w:tcPr>
            <w:tcW w:w="3330" w:type="dxa"/>
            <w:tcBorders>
              <w:top w:val="single" w:sz="6" w:space="0" w:color="auto"/>
              <w:left w:val="single" w:sz="12" w:space="0" w:color="auto"/>
              <w:bottom w:val="single" w:sz="6" w:space="0" w:color="auto"/>
              <w:right w:val="single" w:sz="6" w:space="0" w:color="auto"/>
            </w:tcBorders>
            <w:hideMark/>
          </w:tcPr>
          <w:p w14:paraId="403AE914" w14:textId="77777777" w:rsidR="003A02A8" w:rsidRPr="005047D6" w:rsidRDefault="003A02A8">
            <w:pPr>
              <w:tabs>
                <w:tab w:val="left" w:pos="360"/>
                <w:tab w:val="left" w:pos="720"/>
                <w:tab w:val="left" w:pos="1080"/>
                <w:tab w:val="left" w:pos="1440"/>
              </w:tabs>
              <w:jc w:val="center"/>
              <w:rPr>
                <w:szCs w:val="22"/>
              </w:rPr>
            </w:pPr>
            <w:r w:rsidRPr="005047D6">
              <w:rPr>
                <w:szCs w:val="22"/>
              </w:rPr>
              <w:t>§ 60.3</w:t>
            </w:r>
          </w:p>
        </w:tc>
        <w:tc>
          <w:tcPr>
            <w:tcW w:w="6390" w:type="dxa"/>
            <w:tcBorders>
              <w:top w:val="single" w:sz="6" w:space="0" w:color="auto"/>
              <w:left w:val="single" w:sz="6" w:space="0" w:color="auto"/>
              <w:bottom w:val="single" w:sz="6" w:space="0" w:color="auto"/>
              <w:right w:val="single" w:sz="12" w:space="0" w:color="auto"/>
            </w:tcBorders>
            <w:shd w:val="clear" w:color="auto" w:fill="FFFFFF"/>
            <w:hideMark/>
          </w:tcPr>
          <w:p w14:paraId="2F0C83A7" w14:textId="77777777" w:rsidR="003A02A8" w:rsidRPr="005047D6" w:rsidRDefault="003A02A8">
            <w:pPr>
              <w:tabs>
                <w:tab w:val="left" w:pos="360"/>
                <w:tab w:val="left" w:pos="720"/>
                <w:tab w:val="left" w:pos="1080"/>
                <w:tab w:val="left" w:pos="1440"/>
              </w:tabs>
              <w:autoSpaceDE w:val="0"/>
              <w:autoSpaceDN w:val="0"/>
              <w:adjustRightInd w:val="0"/>
              <w:rPr>
                <w:szCs w:val="22"/>
              </w:rPr>
            </w:pPr>
            <w:r w:rsidRPr="005047D6">
              <w:rPr>
                <w:szCs w:val="22"/>
              </w:rPr>
              <w:t>Units and abbreviations</w:t>
            </w:r>
          </w:p>
        </w:tc>
      </w:tr>
      <w:tr w:rsidR="003A02A8" w:rsidRPr="005047D6" w14:paraId="53A26132" w14:textId="77777777" w:rsidTr="003A02A8">
        <w:tc>
          <w:tcPr>
            <w:tcW w:w="3330" w:type="dxa"/>
            <w:tcBorders>
              <w:top w:val="single" w:sz="6" w:space="0" w:color="auto"/>
              <w:left w:val="single" w:sz="12" w:space="0" w:color="auto"/>
              <w:bottom w:val="single" w:sz="6" w:space="0" w:color="auto"/>
              <w:right w:val="single" w:sz="6" w:space="0" w:color="auto"/>
            </w:tcBorders>
            <w:hideMark/>
          </w:tcPr>
          <w:p w14:paraId="7D3D1AFB" w14:textId="77777777" w:rsidR="003A02A8" w:rsidRPr="005047D6" w:rsidRDefault="003A02A8">
            <w:pPr>
              <w:tabs>
                <w:tab w:val="left" w:pos="360"/>
                <w:tab w:val="left" w:pos="720"/>
                <w:tab w:val="left" w:pos="1080"/>
                <w:tab w:val="left" w:pos="1440"/>
              </w:tabs>
              <w:jc w:val="center"/>
              <w:rPr>
                <w:szCs w:val="22"/>
              </w:rPr>
            </w:pPr>
            <w:r w:rsidRPr="005047D6">
              <w:rPr>
                <w:szCs w:val="22"/>
              </w:rPr>
              <w:t>§ 60.4</w:t>
            </w:r>
          </w:p>
        </w:tc>
        <w:tc>
          <w:tcPr>
            <w:tcW w:w="6390" w:type="dxa"/>
            <w:tcBorders>
              <w:top w:val="single" w:sz="6" w:space="0" w:color="auto"/>
              <w:left w:val="single" w:sz="6" w:space="0" w:color="auto"/>
              <w:bottom w:val="single" w:sz="6" w:space="0" w:color="auto"/>
              <w:right w:val="single" w:sz="12" w:space="0" w:color="auto"/>
            </w:tcBorders>
            <w:hideMark/>
          </w:tcPr>
          <w:p w14:paraId="2C40F922" w14:textId="77777777" w:rsidR="003A02A8" w:rsidRPr="005047D6" w:rsidRDefault="003A02A8">
            <w:pPr>
              <w:tabs>
                <w:tab w:val="left" w:pos="360"/>
                <w:tab w:val="left" w:pos="720"/>
                <w:tab w:val="left" w:pos="1080"/>
                <w:tab w:val="left" w:pos="1440"/>
              </w:tabs>
              <w:autoSpaceDE w:val="0"/>
              <w:autoSpaceDN w:val="0"/>
              <w:adjustRightInd w:val="0"/>
              <w:rPr>
                <w:szCs w:val="22"/>
              </w:rPr>
            </w:pPr>
            <w:r w:rsidRPr="005047D6">
              <w:rPr>
                <w:szCs w:val="22"/>
              </w:rPr>
              <w:t>Address</w:t>
            </w:r>
          </w:p>
        </w:tc>
      </w:tr>
      <w:tr w:rsidR="003A02A8" w:rsidRPr="005047D6" w14:paraId="2A817756" w14:textId="77777777" w:rsidTr="003A02A8">
        <w:tc>
          <w:tcPr>
            <w:tcW w:w="3330" w:type="dxa"/>
            <w:tcBorders>
              <w:top w:val="single" w:sz="6" w:space="0" w:color="auto"/>
              <w:left w:val="single" w:sz="12" w:space="0" w:color="auto"/>
              <w:bottom w:val="single" w:sz="6" w:space="0" w:color="auto"/>
              <w:right w:val="single" w:sz="6" w:space="0" w:color="auto"/>
            </w:tcBorders>
            <w:hideMark/>
          </w:tcPr>
          <w:p w14:paraId="17779ED2" w14:textId="77777777" w:rsidR="003A02A8" w:rsidRPr="005047D6" w:rsidRDefault="003A02A8">
            <w:pPr>
              <w:tabs>
                <w:tab w:val="left" w:pos="360"/>
                <w:tab w:val="left" w:pos="720"/>
                <w:tab w:val="left" w:pos="1080"/>
                <w:tab w:val="left" w:pos="1440"/>
              </w:tabs>
              <w:jc w:val="center"/>
              <w:rPr>
                <w:szCs w:val="22"/>
              </w:rPr>
            </w:pPr>
            <w:r w:rsidRPr="005047D6">
              <w:rPr>
                <w:szCs w:val="22"/>
              </w:rPr>
              <w:t>§ 60.5</w:t>
            </w:r>
          </w:p>
        </w:tc>
        <w:tc>
          <w:tcPr>
            <w:tcW w:w="6390" w:type="dxa"/>
            <w:tcBorders>
              <w:top w:val="single" w:sz="6" w:space="0" w:color="auto"/>
              <w:left w:val="single" w:sz="6" w:space="0" w:color="auto"/>
              <w:bottom w:val="single" w:sz="6" w:space="0" w:color="auto"/>
              <w:right w:val="single" w:sz="12" w:space="0" w:color="auto"/>
            </w:tcBorders>
            <w:hideMark/>
          </w:tcPr>
          <w:p w14:paraId="6314A817" w14:textId="77777777" w:rsidR="003A02A8" w:rsidRPr="005047D6" w:rsidRDefault="003A02A8">
            <w:pPr>
              <w:tabs>
                <w:tab w:val="left" w:pos="360"/>
                <w:tab w:val="left" w:pos="720"/>
                <w:tab w:val="left" w:pos="1080"/>
                <w:tab w:val="left" w:pos="1440"/>
              </w:tabs>
              <w:autoSpaceDE w:val="0"/>
              <w:autoSpaceDN w:val="0"/>
              <w:adjustRightInd w:val="0"/>
              <w:rPr>
                <w:szCs w:val="22"/>
              </w:rPr>
            </w:pPr>
            <w:r w:rsidRPr="005047D6">
              <w:rPr>
                <w:szCs w:val="22"/>
              </w:rPr>
              <w:t>Determination of construction or modification</w:t>
            </w:r>
          </w:p>
        </w:tc>
      </w:tr>
      <w:tr w:rsidR="003A02A8" w:rsidRPr="005047D6" w14:paraId="7C7FDFAC" w14:textId="77777777" w:rsidTr="003A02A8">
        <w:tc>
          <w:tcPr>
            <w:tcW w:w="3330" w:type="dxa"/>
            <w:tcBorders>
              <w:top w:val="single" w:sz="6" w:space="0" w:color="auto"/>
              <w:left w:val="single" w:sz="12" w:space="0" w:color="auto"/>
              <w:bottom w:val="single" w:sz="6" w:space="0" w:color="auto"/>
              <w:right w:val="single" w:sz="6" w:space="0" w:color="auto"/>
            </w:tcBorders>
            <w:hideMark/>
          </w:tcPr>
          <w:p w14:paraId="43CBF72F" w14:textId="77777777" w:rsidR="003A02A8" w:rsidRPr="005047D6" w:rsidRDefault="003A02A8">
            <w:pPr>
              <w:tabs>
                <w:tab w:val="left" w:pos="360"/>
                <w:tab w:val="left" w:pos="720"/>
                <w:tab w:val="left" w:pos="1080"/>
                <w:tab w:val="left" w:pos="1440"/>
              </w:tabs>
              <w:jc w:val="center"/>
              <w:rPr>
                <w:szCs w:val="22"/>
              </w:rPr>
            </w:pPr>
            <w:r w:rsidRPr="005047D6">
              <w:rPr>
                <w:szCs w:val="22"/>
              </w:rPr>
              <w:t>§ 60.6</w:t>
            </w:r>
          </w:p>
        </w:tc>
        <w:tc>
          <w:tcPr>
            <w:tcW w:w="6390" w:type="dxa"/>
            <w:tcBorders>
              <w:top w:val="single" w:sz="6" w:space="0" w:color="auto"/>
              <w:left w:val="single" w:sz="6" w:space="0" w:color="auto"/>
              <w:bottom w:val="single" w:sz="6" w:space="0" w:color="auto"/>
              <w:right w:val="single" w:sz="12" w:space="0" w:color="auto"/>
            </w:tcBorders>
            <w:hideMark/>
          </w:tcPr>
          <w:p w14:paraId="02D690DB" w14:textId="77777777" w:rsidR="003A02A8" w:rsidRPr="005047D6" w:rsidRDefault="003A02A8">
            <w:pPr>
              <w:tabs>
                <w:tab w:val="left" w:pos="360"/>
                <w:tab w:val="left" w:pos="720"/>
                <w:tab w:val="left" w:pos="1080"/>
                <w:tab w:val="left" w:pos="1440"/>
              </w:tabs>
              <w:autoSpaceDE w:val="0"/>
              <w:autoSpaceDN w:val="0"/>
              <w:adjustRightInd w:val="0"/>
              <w:rPr>
                <w:szCs w:val="22"/>
              </w:rPr>
            </w:pPr>
            <w:r w:rsidRPr="005047D6">
              <w:rPr>
                <w:szCs w:val="22"/>
              </w:rPr>
              <w:t>Review of plans</w:t>
            </w:r>
          </w:p>
        </w:tc>
      </w:tr>
      <w:tr w:rsidR="003A02A8" w:rsidRPr="005047D6" w14:paraId="7D5041BC" w14:textId="77777777" w:rsidTr="003A02A8">
        <w:tc>
          <w:tcPr>
            <w:tcW w:w="3330" w:type="dxa"/>
            <w:tcBorders>
              <w:top w:val="single" w:sz="6" w:space="0" w:color="auto"/>
              <w:left w:val="single" w:sz="12" w:space="0" w:color="auto"/>
              <w:bottom w:val="single" w:sz="6" w:space="0" w:color="auto"/>
              <w:right w:val="single" w:sz="6" w:space="0" w:color="auto"/>
            </w:tcBorders>
            <w:hideMark/>
          </w:tcPr>
          <w:p w14:paraId="50B4B994" w14:textId="77777777" w:rsidR="003A02A8" w:rsidRPr="005047D6" w:rsidRDefault="003A02A8">
            <w:pPr>
              <w:tabs>
                <w:tab w:val="left" w:pos="360"/>
                <w:tab w:val="left" w:pos="720"/>
                <w:tab w:val="left" w:pos="1080"/>
                <w:tab w:val="left" w:pos="1440"/>
              </w:tabs>
              <w:jc w:val="center"/>
              <w:rPr>
                <w:szCs w:val="22"/>
              </w:rPr>
            </w:pPr>
            <w:r w:rsidRPr="005047D6">
              <w:rPr>
                <w:szCs w:val="22"/>
              </w:rPr>
              <w:t>§ 60.9</w:t>
            </w:r>
          </w:p>
        </w:tc>
        <w:tc>
          <w:tcPr>
            <w:tcW w:w="6390" w:type="dxa"/>
            <w:tcBorders>
              <w:top w:val="single" w:sz="6" w:space="0" w:color="auto"/>
              <w:left w:val="single" w:sz="6" w:space="0" w:color="auto"/>
              <w:bottom w:val="single" w:sz="6" w:space="0" w:color="auto"/>
              <w:right w:val="single" w:sz="12" w:space="0" w:color="auto"/>
            </w:tcBorders>
            <w:hideMark/>
          </w:tcPr>
          <w:p w14:paraId="4040497E" w14:textId="77777777" w:rsidR="003A02A8" w:rsidRPr="005047D6" w:rsidRDefault="003A02A8">
            <w:pPr>
              <w:tabs>
                <w:tab w:val="left" w:pos="360"/>
                <w:tab w:val="left" w:pos="720"/>
                <w:tab w:val="left" w:pos="1080"/>
                <w:tab w:val="left" w:pos="1440"/>
              </w:tabs>
              <w:autoSpaceDE w:val="0"/>
              <w:autoSpaceDN w:val="0"/>
              <w:adjustRightInd w:val="0"/>
              <w:rPr>
                <w:szCs w:val="22"/>
              </w:rPr>
            </w:pPr>
            <w:r w:rsidRPr="005047D6">
              <w:rPr>
                <w:szCs w:val="22"/>
              </w:rPr>
              <w:t>Availability of information</w:t>
            </w:r>
          </w:p>
        </w:tc>
      </w:tr>
      <w:tr w:rsidR="003A02A8" w:rsidRPr="005047D6" w14:paraId="4A1BB994" w14:textId="77777777" w:rsidTr="003A02A8">
        <w:tc>
          <w:tcPr>
            <w:tcW w:w="3330" w:type="dxa"/>
            <w:tcBorders>
              <w:top w:val="single" w:sz="6" w:space="0" w:color="auto"/>
              <w:left w:val="single" w:sz="12" w:space="0" w:color="auto"/>
              <w:bottom w:val="single" w:sz="6" w:space="0" w:color="auto"/>
              <w:right w:val="single" w:sz="6" w:space="0" w:color="auto"/>
            </w:tcBorders>
            <w:hideMark/>
          </w:tcPr>
          <w:p w14:paraId="0AF6B6C5" w14:textId="77777777" w:rsidR="003A02A8" w:rsidRPr="005047D6" w:rsidRDefault="003A02A8">
            <w:pPr>
              <w:tabs>
                <w:tab w:val="left" w:pos="360"/>
                <w:tab w:val="left" w:pos="720"/>
                <w:tab w:val="left" w:pos="1080"/>
                <w:tab w:val="left" w:pos="1440"/>
              </w:tabs>
              <w:jc w:val="center"/>
              <w:rPr>
                <w:szCs w:val="22"/>
              </w:rPr>
            </w:pPr>
            <w:r w:rsidRPr="005047D6">
              <w:rPr>
                <w:szCs w:val="22"/>
              </w:rPr>
              <w:t>§ 60.10</w:t>
            </w:r>
          </w:p>
        </w:tc>
        <w:tc>
          <w:tcPr>
            <w:tcW w:w="6390" w:type="dxa"/>
            <w:tcBorders>
              <w:top w:val="single" w:sz="6" w:space="0" w:color="auto"/>
              <w:left w:val="single" w:sz="6" w:space="0" w:color="auto"/>
              <w:bottom w:val="single" w:sz="6" w:space="0" w:color="auto"/>
              <w:right w:val="single" w:sz="12" w:space="0" w:color="auto"/>
            </w:tcBorders>
            <w:hideMark/>
          </w:tcPr>
          <w:p w14:paraId="35CE6594" w14:textId="77777777" w:rsidR="003A02A8" w:rsidRPr="005047D6" w:rsidRDefault="003A02A8">
            <w:pPr>
              <w:tabs>
                <w:tab w:val="left" w:pos="360"/>
                <w:tab w:val="left" w:pos="720"/>
                <w:tab w:val="left" w:pos="1080"/>
                <w:tab w:val="left" w:pos="1440"/>
              </w:tabs>
              <w:autoSpaceDE w:val="0"/>
              <w:autoSpaceDN w:val="0"/>
              <w:adjustRightInd w:val="0"/>
              <w:rPr>
                <w:szCs w:val="22"/>
              </w:rPr>
            </w:pPr>
            <w:r w:rsidRPr="005047D6">
              <w:rPr>
                <w:szCs w:val="22"/>
              </w:rPr>
              <w:t>State Authority</w:t>
            </w:r>
          </w:p>
        </w:tc>
      </w:tr>
      <w:tr w:rsidR="003A02A8" w:rsidRPr="005047D6" w14:paraId="07920144" w14:textId="77777777" w:rsidTr="003A02A8">
        <w:tc>
          <w:tcPr>
            <w:tcW w:w="3330" w:type="dxa"/>
            <w:tcBorders>
              <w:top w:val="single" w:sz="6" w:space="0" w:color="auto"/>
              <w:left w:val="single" w:sz="12" w:space="0" w:color="auto"/>
              <w:bottom w:val="single" w:sz="6" w:space="0" w:color="auto"/>
              <w:right w:val="single" w:sz="6" w:space="0" w:color="auto"/>
            </w:tcBorders>
            <w:hideMark/>
          </w:tcPr>
          <w:p w14:paraId="24AB424D" w14:textId="77777777" w:rsidR="003A02A8" w:rsidRPr="005047D6" w:rsidRDefault="003A02A8">
            <w:pPr>
              <w:tabs>
                <w:tab w:val="left" w:pos="360"/>
                <w:tab w:val="left" w:pos="720"/>
                <w:tab w:val="left" w:pos="1080"/>
                <w:tab w:val="left" w:pos="1440"/>
              </w:tabs>
              <w:jc w:val="center"/>
              <w:rPr>
                <w:szCs w:val="22"/>
              </w:rPr>
            </w:pPr>
            <w:r w:rsidRPr="005047D6">
              <w:rPr>
                <w:szCs w:val="22"/>
              </w:rPr>
              <w:t>§ 60.12</w:t>
            </w:r>
          </w:p>
        </w:tc>
        <w:tc>
          <w:tcPr>
            <w:tcW w:w="6390" w:type="dxa"/>
            <w:tcBorders>
              <w:top w:val="single" w:sz="6" w:space="0" w:color="auto"/>
              <w:left w:val="single" w:sz="6" w:space="0" w:color="auto"/>
              <w:bottom w:val="single" w:sz="6" w:space="0" w:color="auto"/>
              <w:right w:val="single" w:sz="12" w:space="0" w:color="auto"/>
            </w:tcBorders>
            <w:hideMark/>
          </w:tcPr>
          <w:p w14:paraId="591B4E27" w14:textId="77777777" w:rsidR="003A02A8" w:rsidRPr="005047D6" w:rsidRDefault="003A02A8">
            <w:pPr>
              <w:tabs>
                <w:tab w:val="left" w:pos="360"/>
                <w:tab w:val="left" w:pos="720"/>
                <w:tab w:val="left" w:pos="1080"/>
                <w:tab w:val="left" w:pos="1440"/>
              </w:tabs>
              <w:autoSpaceDE w:val="0"/>
              <w:autoSpaceDN w:val="0"/>
              <w:adjustRightInd w:val="0"/>
              <w:rPr>
                <w:szCs w:val="22"/>
              </w:rPr>
            </w:pPr>
            <w:r w:rsidRPr="005047D6">
              <w:rPr>
                <w:szCs w:val="22"/>
              </w:rPr>
              <w:t>Circumvention</w:t>
            </w:r>
          </w:p>
        </w:tc>
      </w:tr>
      <w:tr w:rsidR="003A02A8" w:rsidRPr="005047D6" w14:paraId="1B1AC165" w14:textId="77777777" w:rsidTr="003A02A8">
        <w:tc>
          <w:tcPr>
            <w:tcW w:w="3330" w:type="dxa"/>
            <w:tcBorders>
              <w:top w:val="single" w:sz="6" w:space="0" w:color="auto"/>
              <w:left w:val="single" w:sz="12" w:space="0" w:color="auto"/>
              <w:bottom w:val="single" w:sz="6" w:space="0" w:color="auto"/>
              <w:right w:val="single" w:sz="6" w:space="0" w:color="auto"/>
            </w:tcBorders>
            <w:hideMark/>
          </w:tcPr>
          <w:p w14:paraId="0747520B" w14:textId="77777777" w:rsidR="003A02A8" w:rsidRPr="005047D6" w:rsidRDefault="003A02A8">
            <w:pPr>
              <w:tabs>
                <w:tab w:val="left" w:pos="360"/>
                <w:tab w:val="left" w:pos="720"/>
                <w:tab w:val="left" w:pos="1080"/>
                <w:tab w:val="left" w:pos="1440"/>
              </w:tabs>
              <w:jc w:val="center"/>
              <w:rPr>
                <w:szCs w:val="22"/>
              </w:rPr>
            </w:pPr>
            <w:r w:rsidRPr="005047D6">
              <w:rPr>
                <w:szCs w:val="22"/>
              </w:rPr>
              <w:t>§ 60.14</w:t>
            </w:r>
          </w:p>
        </w:tc>
        <w:tc>
          <w:tcPr>
            <w:tcW w:w="6390" w:type="dxa"/>
            <w:tcBorders>
              <w:top w:val="single" w:sz="6" w:space="0" w:color="auto"/>
              <w:left w:val="single" w:sz="6" w:space="0" w:color="auto"/>
              <w:bottom w:val="single" w:sz="6" w:space="0" w:color="auto"/>
              <w:right w:val="single" w:sz="12" w:space="0" w:color="auto"/>
            </w:tcBorders>
            <w:hideMark/>
          </w:tcPr>
          <w:p w14:paraId="56231649" w14:textId="77777777" w:rsidR="003A02A8" w:rsidRPr="005047D6" w:rsidRDefault="003A02A8">
            <w:pPr>
              <w:tabs>
                <w:tab w:val="left" w:pos="360"/>
                <w:tab w:val="left" w:pos="720"/>
                <w:tab w:val="left" w:pos="1080"/>
                <w:tab w:val="left" w:pos="1440"/>
              </w:tabs>
              <w:autoSpaceDE w:val="0"/>
              <w:autoSpaceDN w:val="0"/>
              <w:adjustRightInd w:val="0"/>
              <w:rPr>
                <w:szCs w:val="22"/>
              </w:rPr>
            </w:pPr>
            <w:r w:rsidRPr="005047D6">
              <w:rPr>
                <w:szCs w:val="22"/>
              </w:rPr>
              <w:t>Modification</w:t>
            </w:r>
          </w:p>
        </w:tc>
      </w:tr>
      <w:tr w:rsidR="003A02A8" w:rsidRPr="005047D6" w14:paraId="0B55E28B" w14:textId="77777777" w:rsidTr="003A02A8">
        <w:tc>
          <w:tcPr>
            <w:tcW w:w="3330" w:type="dxa"/>
            <w:tcBorders>
              <w:top w:val="single" w:sz="6" w:space="0" w:color="auto"/>
              <w:left w:val="single" w:sz="12" w:space="0" w:color="auto"/>
              <w:bottom w:val="single" w:sz="6" w:space="0" w:color="auto"/>
              <w:right w:val="single" w:sz="6" w:space="0" w:color="auto"/>
            </w:tcBorders>
            <w:hideMark/>
          </w:tcPr>
          <w:p w14:paraId="6C79EF1E" w14:textId="77777777" w:rsidR="003A02A8" w:rsidRPr="005047D6" w:rsidRDefault="003A02A8">
            <w:pPr>
              <w:tabs>
                <w:tab w:val="left" w:pos="360"/>
                <w:tab w:val="left" w:pos="720"/>
                <w:tab w:val="left" w:pos="1080"/>
                <w:tab w:val="left" w:pos="1440"/>
              </w:tabs>
              <w:jc w:val="center"/>
              <w:rPr>
                <w:szCs w:val="22"/>
              </w:rPr>
            </w:pPr>
            <w:r w:rsidRPr="005047D6">
              <w:rPr>
                <w:szCs w:val="22"/>
              </w:rPr>
              <w:t>§ 60.15</w:t>
            </w:r>
          </w:p>
        </w:tc>
        <w:tc>
          <w:tcPr>
            <w:tcW w:w="6390" w:type="dxa"/>
            <w:tcBorders>
              <w:top w:val="single" w:sz="6" w:space="0" w:color="auto"/>
              <w:left w:val="single" w:sz="6" w:space="0" w:color="auto"/>
              <w:bottom w:val="single" w:sz="6" w:space="0" w:color="auto"/>
              <w:right w:val="single" w:sz="12" w:space="0" w:color="auto"/>
            </w:tcBorders>
            <w:hideMark/>
          </w:tcPr>
          <w:p w14:paraId="1CD75147" w14:textId="77777777" w:rsidR="003A02A8" w:rsidRPr="005047D6" w:rsidRDefault="003A02A8">
            <w:pPr>
              <w:tabs>
                <w:tab w:val="left" w:pos="360"/>
                <w:tab w:val="left" w:pos="720"/>
                <w:tab w:val="left" w:pos="1080"/>
                <w:tab w:val="left" w:pos="1440"/>
              </w:tabs>
              <w:autoSpaceDE w:val="0"/>
              <w:autoSpaceDN w:val="0"/>
              <w:adjustRightInd w:val="0"/>
              <w:rPr>
                <w:szCs w:val="22"/>
              </w:rPr>
            </w:pPr>
            <w:r w:rsidRPr="005047D6">
              <w:rPr>
                <w:szCs w:val="22"/>
              </w:rPr>
              <w:t>Reconstruction</w:t>
            </w:r>
          </w:p>
        </w:tc>
      </w:tr>
      <w:tr w:rsidR="003A02A8" w:rsidRPr="005047D6" w14:paraId="457D8AF1" w14:textId="77777777" w:rsidTr="003A02A8">
        <w:tc>
          <w:tcPr>
            <w:tcW w:w="3330" w:type="dxa"/>
            <w:tcBorders>
              <w:top w:val="single" w:sz="6" w:space="0" w:color="auto"/>
              <w:left w:val="single" w:sz="12" w:space="0" w:color="auto"/>
              <w:bottom w:val="single" w:sz="6" w:space="0" w:color="auto"/>
              <w:right w:val="single" w:sz="6" w:space="0" w:color="auto"/>
            </w:tcBorders>
            <w:hideMark/>
          </w:tcPr>
          <w:p w14:paraId="78E0A87D" w14:textId="77777777" w:rsidR="003A02A8" w:rsidRPr="005047D6" w:rsidRDefault="003A02A8">
            <w:pPr>
              <w:tabs>
                <w:tab w:val="left" w:pos="360"/>
                <w:tab w:val="left" w:pos="720"/>
                <w:tab w:val="left" w:pos="1080"/>
                <w:tab w:val="left" w:pos="1440"/>
              </w:tabs>
              <w:jc w:val="center"/>
              <w:rPr>
                <w:szCs w:val="22"/>
              </w:rPr>
            </w:pPr>
            <w:r w:rsidRPr="005047D6">
              <w:rPr>
                <w:szCs w:val="22"/>
              </w:rPr>
              <w:t>§ 60.16</w:t>
            </w:r>
          </w:p>
        </w:tc>
        <w:tc>
          <w:tcPr>
            <w:tcW w:w="6390" w:type="dxa"/>
            <w:tcBorders>
              <w:top w:val="single" w:sz="6" w:space="0" w:color="auto"/>
              <w:left w:val="single" w:sz="6" w:space="0" w:color="auto"/>
              <w:bottom w:val="single" w:sz="6" w:space="0" w:color="auto"/>
              <w:right w:val="single" w:sz="12" w:space="0" w:color="auto"/>
            </w:tcBorders>
            <w:hideMark/>
          </w:tcPr>
          <w:p w14:paraId="5DACB3E0" w14:textId="77777777" w:rsidR="003A02A8" w:rsidRPr="005047D6" w:rsidRDefault="003A02A8">
            <w:pPr>
              <w:tabs>
                <w:tab w:val="left" w:pos="360"/>
                <w:tab w:val="left" w:pos="720"/>
                <w:tab w:val="left" w:pos="1080"/>
                <w:tab w:val="left" w:pos="1440"/>
              </w:tabs>
              <w:autoSpaceDE w:val="0"/>
              <w:autoSpaceDN w:val="0"/>
              <w:adjustRightInd w:val="0"/>
              <w:rPr>
                <w:szCs w:val="22"/>
              </w:rPr>
            </w:pPr>
            <w:r w:rsidRPr="005047D6">
              <w:rPr>
                <w:szCs w:val="22"/>
              </w:rPr>
              <w:t>Priority list</w:t>
            </w:r>
          </w:p>
        </w:tc>
      </w:tr>
      <w:tr w:rsidR="003A02A8" w:rsidRPr="005047D6" w14:paraId="2A8FD1AA" w14:textId="77777777" w:rsidTr="003A02A8">
        <w:tc>
          <w:tcPr>
            <w:tcW w:w="3330" w:type="dxa"/>
            <w:tcBorders>
              <w:top w:val="single" w:sz="6" w:space="0" w:color="auto"/>
              <w:left w:val="single" w:sz="12" w:space="0" w:color="auto"/>
              <w:bottom w:val="single" w:sz="6" w:space="0" w:color="auto"/>
              <w:right w:val="single" w:sz="6" w:space="0" w:color="auto"/>
            </w:tcBorders>
            <w:hideMark/>
          </w:tcPr>
          <w:p w14:paraId="7C480EF9" w14:textId="77777777" w:rsidR="003A02A8" w:rsidRPr="005047D6" w:rsidRDefault="003A02A8">
            <w:pPr>
              <w:tabs>
                <w:tab w:val="left" w:pos="360"/>
                <w:tab w:val="left" w:pos="720"/>
                <w:tab w:val="left" w:pos="1080"/>
                <w:tab w:val="left" w:pos="1440"/>
              </w:tabs>
              <w:jc w:val="center"/>
              <w:rPr>
                <w:szCs w:val="22"/>
              </w:rPr>
            </w:pPr>
            <w:r w:rsidRPr="005047D6">
              <w:rPr>
                <w:szCs w:val="22"/>
              </w:rPr>
              <w:t>§ 60.17</w:t>
            </w:r>
          </w:p>
        </w:tc>
        <w:tc>
          <w:tcPr>
            <w:tcW w:w="6390" w:type="dxa"/>
            <w:tcBorders>
              <w:top w:val="single" w:sz="6" w:space="0" w:color="auto"/>
              <w:left w:val="single" w:sz="6" w:space="0" w:color="auto"/>
              <w:bottom w:val="single" w:sz="6" w:space="0" w:color="auto"/>
              <w:right w:val="single" w:sz="12" w:space="0" w:color="auto"/>
            </w:tcBorders>
            <w:hideMark/>
          </w:tcPr>
          <w:p w14:paraId="737354F9" w14:textId="77777777" w:rsidR="003A02A8" w:rsidRPr="005047D6" w:rsidRDefault="003A02A8">
            <w:pPr>
              <w:tabs>
                <w:tab w:val="left" w:pos="360"/>
                <w:tab w:val="left" w:pos="720"/>
                <w:tab w:val="left" w:pos="1080"/>
                <w:tab w:val="left" w:pos="1440"/>
              </w:tabs>
              <w:autoSpaceDE w:val="0"/>
              <w:autoSpaceDN w:val="0"/>
              <w:adjustRightInd w:val="0"/>
              <w:rPr>
                <w:szCs w:val="22"/>
              </w:rPr>
            </w:pPr>
            <w:r w:rsidRPr="005047D6">
              <w:rPr>
                <w:szCs w:val="22"/>
              </w:rPr>
              <w:t>Incorporations by reference</w:t>
            </w:r>
          </w:p>
        </w:tc>
      </w:tr>
      <w:tr w:rsidR="003A02A8" w:rsidRPr="005047D6" w14:paraId="26C54CAF" w14:textId="77777777" w:rsidTr="003A02A8">
        <w:tc>
          <w:tcPr>
            <w:tcW w:w="3330" w:type="dxa"/>
            <w:tcBorders>
              <w:top w:val="single" w:sz="6" w:space="0" w:color="auto"/>
              <w:left w:val="single" w:sz="12" w:space="0" w:color="auto"/>
              <w:bottom w:val="single" w:sz="12" w:space="0" w:color="auto"/>
              <w:right w:val="single" w:sz="6" w:space="0" w:color="auto"/>
            </w:tcBorders>
            <w:hideMark/>
          </w:tcPr>
          <w:p w14:paraId="6A6B2E50" w14:textId="77777777" w:rsidR="003A02A8" w:rsidRPr="005047D6" w:rsidRDefault="003A02A8">
            <w:pPr>
              <w:tabs>
                <w:tab w:val="left" w:pos="360"/>
                <w:tab w:val="left" w:pos="720"/>
                <w:tab w:val="left" w:pos="1080"/>
                <w:tab w:val="left" w:pos="1440"/>
              </w:tabs>
              <w:jc w:val="center"/>
              <w:rPr>
                <w:szCs w:val="22"/>
              </w:rPr>
            </w:pPr>
            <w:r w:rsidRPr="005047D6">
              <w:rPr>
                <w:szCs w:val="22"/>
              </w:rPr>
              <w:t>§ 60.19</w:t>
            </w:r>
          </w:p>
        </w:tc>
        <w:tc>
          <w:tcPr>
            <w:tcW w:w="6390" w:type="dxa"/>
            <w:tcBorders>
              <w:top w:val="single" w:sz="6" w:space="0" w:color="auto"/>
              <w:left w:val="single" w:sz="6" w:space="0" w:color="auto"/>
              <w:bottom w:val="single" w:sz="12" w:space="0" w:color="auto"/>
              <w:right w:val="single" w:sz="12" w:space="0" w:color="auto"/>
            </w:tcBorders>
            <w:hideMark/>
          </w:tcPr>
          <w:p w14:paraId="2CDC9ED0" w14:textId="77777777" w:rsidR="003A02A8" w:rsidRPr="005047D6" w:rsidRDefault="003A02A8">
            <w:pPr>
              <w:tabs>
                <w:tab w:val="left" w:pos="360"/>
                <w:tab w:val="left" w:pos="720"/>
                <w:tab w:val="left" w:pos="1080"/>
                <w:tab w:val="left" w:pos="1440"/>
              </w:tabs>
              <w:autoSpaceDE w:val="0"/>
              <w:autoSpaceDN w:val="0"/>
              <w:adjustRightInd w:val="0"/>
              <w:rPr>
                <w:szCs w:val="22"/>
              </w:rPr>
            </w:pPr>
            <w:r w:rsidRPr="005047D6">
              <w:rPr>
                <w:szCs w:val="22"/>
              </w:rPr>
              <w:t>General notification and reporting requirements</w:t>
            </w:r>
          </w:p>
        </w:tc>
      </w:tr>
    </w:tbl>
    <w:p w14:paraId="6838115F" w14:textId="6CA86D2A" w:rsidR="003A02A8" w:rsidRPr="005047D6" w:rsidRDefault="003A02A8" w:rsidP="003A02A8">
      <w:pPr>
        <w:tabs>
          <w:tab w:val="left" w:pos="360"/>
        </w:tabs>
        <w:spacing w:after="120"/>
        <w:ind w:left="360"/>
      </w:pPr>
      <w:r w:rsidRPr="005047D6">
        <w:rPr>
          <w:color w:val="000000"/>
          <w:szCs w:val="22"/>
        </w:rPr>
        <w:t xml:space="preserve">[40 CFR 60.4218]  </w:t>
      </w:r>
    </w:p>
    <w:p w14:paraId="772C493A" w14:textId="768CD0C5" w:rsidR="001A0480" w:rsidRDefault="00585225" w:rsidP="00773CE7">
      <w:pPr>
        <w:tabs>
          <w:tab w:val="left" w:pos="0"/>
        </w:tabs>
        <w:suppressAutoHyphens/>
        <w:spacing w:before="120" w:after="120"/>
        <w:rPr>
          <w:color w:val="000000"/>
        </w:rPr>
      </w:pPr>
      <w:hyperlink w:anchor="TableofContents" w:tooltip=" " w:history="1">
        <w:r w:rsidR="00773CE7" w:rsidRPr="00C638F9">
          <w:rPr>
            <w:rStyle w:val="Hyperlink"/>
          </w:rPr>
          <w:t>Table of Contents</w:t>
        </w:r>
      </w:hyperlink>
      <w:r w:rsidR="008750BB">
        <w:rPr>
          <w:color w:val="000000"/>
        </w:rPr>
        <w:t xml:space="preserve"> </w:t>
      </w:r>
      <w:bookmarkEnd w:id="239"/>
    </w:p>
    <w:p w14:paraId="185EEFA7" w14:textId="0138B2B4" w:rsidR="000302AB" w:rsidRDefault="000302AB" w:rsidP="000302AB">
      <w:pPr>
        <w:tabs>
          <w:tab w:val="left" w:pos="1440"/>
        </w:tabs>
        <w:spacing w:before="120"/>
        <w:rPr>
          <w:color w:val="000000"/>
        </w:rPr>
        <w:sectPr w:rsidR="000302AB" w:rsidSect="005F79CF">
          <w:headerReference w:type="even" r:id="rId71"/>
          <w:headerReference w:type="default" r:id="rId72"/>
          <w:headerReference w:type="first" r:id="rId73"/>
          <w:pgSz w:w="12240" w:h="15840" w:code="1"/>
          <w:pgMar w:top="1080" w:right="1080" w:bottom="1080" w:left="1080" w:header="720" w:footer="720" w:gutter="0"/>
          <w:paperSrc w:first="15" w:other="15"/>
          <w:cols w:space="720"/>
        </w:sectPr>
      </w:pPr>
    </w:p>
    <w:p w14:paraId="19B391A4" w14:textId="4F67DA50" w:rsidR="00030715" w:rsidRDefault="00030715" w:rsidP="00030715">
      <w:pPr>
        <w:spacing w:before="120" w:after="120"/>
        <w:rPr>
          <w:b/>
          <w:szCs w:val="22"/>
        </w:rPr>
      </w:pPr>
      <w:bookmarkStart w:id="252" w:name="Section3H"/>
      <w:bookmarkEnd w:id="252"/>
      <w:r>
        <w:rPr>
          <w:b/>
          <w:szCs w:val="22"/>
        </w:rPr>
        <w:t>The specific conditions in this section apply to the following emissions unit.</w:t>
      </w:r>
    </w:p>
    <w:tbl>
      <w:tblPr>
        <w:tblW w:w="9954" w:type="dxa"/>
        <w:tblInd w:w="10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top w:w="43" w:type="dxa"/>
          <w:left w:w="72" w:type="dxa"/>
          <w:bottom w:w="43" w:type="dxa"/>
          <w:right w:w="72" w:type="dxa"/>
        </w:tblCellMar>
        <w:tblLook w:val="0000" w:firstRow="0" w:lastRow="0" w:firstColumn="0" w:lastColumn="0" w:noHBand="0" w:noVBand="0"/>
      </w:tblPr>
      <w:tblGrid>
        <w:gridCol w:w="939"/>
        <w:gridCol w:w="9015"/>
      </w:tblGrid>
      <w:tr w:rsidR="00030715" w14:paraId="3D9F626B" w14:textId="77777777" w:rsidTr="008A0AD2">
        <w:tc>
          <w:tcPr>
            <w:tcW w:w="939" w:type="dxa"/>
            <w:tcBorders>
              <w:top w:val="single" w:sz="12" w:space="0" w:color="auto"/>
              <w:bottom w:val="single" w:sz="12" w:space="0" w:color="auto"/>
            </w:tcBorders>
          </w:tcPr>
          <w:p w14:paraId="18E6FD46" w14:textId="77777777" w:rsidR="00030715" w:rsidRPr="00D075B0" w:rsidRDefault="00030715" w:rsidP="00030715">
            <w:pPr>
              <w:jc w:val="center"/>
              <w:rPr>
                <w:b/>
                <w:szCs w:val="22"/>
              </w:rPr>
            </w:pPr>
            <w:r w:rsidRPr="00D075B0">
              <w:rPr>
                <w:szCs w:val="22"/>
              </w:rPr>
              <w:br w:type="page"/>
            </w:r>
            <w:r w:rsidRPr="00D075B0">
              <w:rPr>
                <w:szCs w:val="22"/>
              </w:rPr>
              <w:br w:type="page"/>
            </w:r>
            <w:r w:rsidRPr="00D075B0">
              <w:rPr>
                <w:b/>
                <w:szCs w:val="22"/>
              </w:rPr>
              <w:t>EU No.</w:t>
            </w:r>
          </w:p>
        </w:tc>
        <w:tc>
          <w:tcPr>
            <w:tcW w:w="9015" w:type="dxa"/>
            <w:tcBorders>
              <w:top w:val="single" w:sz="12" w:space="0" w:color="auto"/>
              <w:bottom w:val="single" w:sz="12" w:space="0" w:color="auto"/>
            </w:tcBorders>
          </w:tcPr>
          <w:p w14:paraId="708F1ED9" w14:textId="77777777" w:rsidR="00030715" w:rsidRPr="00D075B0" w:rsidRDefault="00030715" w:rsidP="00030715">
            <w:pPr>
              <w:rPr>
                <w:b/>
                <w:szCs w:val="22"/>
              </w:rPr>
            </w:pPr>
            <w:r w:rsidRPr="00D075B0">
              <w:rPr>
                <w:b/>
                <w:szCs w:val="22"/>
              </w:rPr>
              <w:t>Brief Description</w:t>
            </w:r>
          </w:p>
        </w:tc>
      </w:tr>
      <w:tr w:rsidR="00030715" w14:paraId="3F0C5375" w14:textId="77777777" w:rsidTr="008A0AD2">
        <w:tc>
          <w:tcPr>
            <w:tcW w:w="939" w:type="dxa"/>
            <w:vMerge w:val="restart"/>
            <w:tcBorders>
              <w:top w:val="single" w:sz="12" w:space="0" w:color="auto"/>
            </w:tcBorders>
            <w:vAlign w:val="center"/>
          </w:tcPr>
          <w:p w14:paraId="268F78D1" w14:textId="61E40C3A" w:rsidR="00030715" w:rsidRPr="003A1C8E" w:rsidRDefault="00030715" w:rsidP="00030715">
            <w:pPr>
              <w:jc w:val="center"/>
              <w:rPr>
                <w:szCs w:val="22"/>
              </w:rPr>
            </w:pPr>
            <w:r>
              <w:rPr>
                <w:szCs w:val="22"/>
              </w:rPr>
              <w:t>023</w:t>
            </w:r>
          </w:p>
        </w:tc>
        <w:tc>
          <w:tcPr>
            <w:tcW w:w="9015" w:type="dxa"/>
            <w:tcBorders>
              <w:top w:val="single" w:sz="12" w:space="0" w:color="auto"/>
              <w:bottom w:val="single" w:sz="6" w:space="0" w:color="auto"/>
            </w:tcBorders>
            <w:vAlign w:val="center"/>
          </w:tcPr>
          <w:p w14:paraId="691AAA83" w14:textId="2868EDAE" w:rsidR="00030715" w:rsidRPr="003A1C8E" w:rsidRDefault="00030715" w:rsidP="00030715">
            <w:r>
              <w:rPr>
                <w:szCs w:val="22"/>
              </w:rPr>
              <w:t>Two Hurricane Emergency Shelter Propane Generators (36 HP)</w:t>
            </w:r>
          </w:p>
        </w:tc>
      </w:tr>
      <w:tr w:rsidR="00030715" w14:paraId="0D083214" w14:textId="77777777" w:rsidTr="008A0AD2">
        <w:tc>
          <w:tcPr>
            <w:tcW w:w="939" w:type="dxa"/>
            <w:vMerge/>
            <w:tcBorders>
              <w:bottom w:val="single" w:sz="12" w:space="0" w:color="auto"/>
            </w:tcBorders>
            <w:vAlign w:val="center"/>
          </w:tcPr>
          <w:p w14:paraId="34B67A5D" w14:textId="77777777" w:rsidR="00030715" w:rsidRDefault="00030715" w:rsidP="00030715">
            <w:pPr>
              <w:jc w:val="center"/>
              <w:rPr>
                <w:szCs w:val="22"/>
              </w:rPr>
            </w:pPr>
          </w:p>
        </w:tc>
        <w:tc>
          <w:tcPr>
            <w:tcW w:w="9015" w:type="dxa"/>
            <w:tcBorders>
              <w:top w:val="single" w:sz="6" w:space="0" w:color="auto"/>
              <w:bottom w:val="single" w:sz="12" w:space="0" w:color="auto"/>
            </w:tcBorders>
            <w:vAlign w:val="center"/>
          </w:tcPr>
          <w:p w14:paraId="57810E23" w14:textId="11BFD50B" w:rsidR="00030715" w:rsidRPr="000302AB" w:rsidRDefault="00030715" w:rsidP="00030715">
            <w:pPr>
              <w:rPr>
                <w:szCs w:val="22"/>
              </w:rPr>
            </w:pPr>
            <w:r>
              <w:rPr>
                <w:szCs w:val="22"/>
              </w:rPr>
              <w:t>Two Hurricane Emergency Shelter Propane Generators (50 HP)</w:t>
            </w:r>
          </w:p>
        </w:tc>
      </w:tr>
    </w:tbl>
    <w:p w14:paraId="2FC2EFE0" w14:textId="441C9578" w:rsidR="00030715" w:rsidRPr="00030715" w:rsidRDefault="00030715" w:rsidP="00030715">
      <w:pPr>
        <w:tabs>
          <w:tab w:val="left" w:pos="1440"/>
        </w:tabs>
        <w:spacing w:before="120"/>
        <w:rPr>
          <w:color w:val="000000"/>
        </w:rPr>
      </w:pPr>
      <w:r w:rsidRPr="00030715">
        <w:rPr>
          <w:color w:val="000000"/>
        </w:rPr>
        <w:t>Emissions Unit 023 consists of four stationary spark ignition (SI) reciprocating internal combustion engines (RICE) that fire propane.  There are two identical emergency generators with a rating of 36 HP at 100% load (approximately 27 kW) that are used to provide emergency power to the hurricane shelters for the staff assigned to EU 001 and EU 002.  There are two additional identical emergency generators with a rating of 50 HP at 100% load (approximately 37 kW) that are used to provide emergency power to the hurricane shelters for the staff assigned to EU’s 003-006.</w:t>
      </w:r>
      <w:r w:rsidR="007E7419">
        <w:rPr>
          <w:color w:val="000000"/>
        </w:rPr>
        <w:t xml:space="preserve">  </w:t>
      </w:r>
    </w:p>
    <w:p w14:paraId="6479300D" w14:textId="77777777" w:rsidR="00030715" w:rsidRPr="00030715" w:rsidRDefault="00030715" w:rsidP="00030715">
      <w:pPr>
        <w:tabs>
          <w:tab w:val="left" w:pos="1440"/>
        </w:tabs>
        <w:spacing w:before="120" w:after="120"/>
        <w:rPr>
          <w:color w:val="000000"/>
        </w:rPr>
      </w:pPr>
      <w:r w:rsidRPr="00030715">
        <w:rPr>
          <w:color w:val="000000"/>
        </w:rPr>
        <w:t>The following table provides important details for the engines collectively regulated as EU 023:</w:t>
      </w:r>
    </w:p>
    <w:tbl>
      <w:tblPr>
        <w:tblW w:w="10170" w:type="dxa"/>
        <w:tblInd w:w="108"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Look w:val="01E0" w:firstRow="1" w:lastRow="1" w:firstColumn="1" w:lastColumn="1" w:noHBand="0" w:noVBand="0"/>
      </w:tblPr>
      <w:tblGrid>
        <w:gridCol w:w="2610"/>
        <w:gridCol w:w="990"/>
        <w:gridCol w:w="1530"/>
        <w:gridCol w:w="900"/>
        <w:gridCol w:w="1620"/>
        <w:gridCol w:w="1620"/>
        <w:gridCol w:w="900"/>
      </w:tblGrid>
      <w:tr w:rsidR="00030715" w:rsidRPr="00030715" w14:paraId="3EEB45A1" w14:textId="77777777" w:rsidTr="00030715">
        <w:tc>
          <w:tcPr>
            <w:tcW w:w="2610" w:type="dxa"/>
            <w:tcBorders>
              <w:top w:val="single" w:sz="12" w:space="0" w:color="auto"/>
              <w:left w:val="single" w:sz="12" w:space="0" w:color="auto"/>
              <w:bottom w:val="single" w:sz="12" w:space="0" w:color="auto"/>
              <w:right w:val="single" w:sz="12" w:space="0" w:color="auto"/>
            </w:tcBorders>
            <w:shd w:val="clear" w:color="auto" w:fill="auto"/>
            <w:vAlign w:val="center"/>
            <w:hideMark/>
          </w:tcPr>
          <w:p w14:paraId="18354E19" w14:textId="77777777" w:rsidR="00030715" w:rsidRPr="00030715" w:rsidRDefault="00030715" w:rsidP="00030715">
            <w:pPr>
              <w:tabs>
                <w:tab w:val="left" w:pos="1440"/>
              </w:tabs>
              <w:spacing w:before="120"/>
              <w:rPr>
                <w:b/>
                <w:color w:val="000000"/>
              </w:rPr>
            </w:pPr>
            <w:r w:rsidRPr="00030715">
              <w:rPr>
                <w:b/>
                <w:color w:val="000000"/>
              </w:rPr>
              <w:t>Engine Identification</w:t>
            </w:r>
          </w:p>
        </w:tc>
        <w:tc>
          <w:tcPr>
            <w:tcW w:w="990" w:type="dxa"/>
            <w:tcBorders>
              <w:top w:val="single" w:sz="12" w:space="0" w:color="auto"/>
              <w:left w:val="single" w:sz="12" w:space="0" w:color="auto"/>
              <w:bottom w:val="single" w:sz="12" w:space="0" w:color="auto"/>
              <w:right w:val="single" w:sz="12" w:space="0" w:color="auto"/>
            </w:tcBorders>
            <w:shd w:val="clear" w:color="auto" w:fill="auto"/>
            <w:vAlign w:val="center"/>
            <w:hideMark/>
          </w:tcPr>
          <w:p w14:paraId="5001D3B9" w14:textId="77777777" w:rsidR="00030715" w:rsidRPr="00030715" w:rsidRDefault="00030715" w:rsidP="00030715">
            <w:pPr>
              <w:tabs>
                <w:tab w:val="left" w:pos="1440"/>
              </w:tabs>
              <w:spacing w:before="120"/>
              <w:rPr>
                <w:color w:val="000000"/>
              </w:rPr>
            </w:pPr>
            <w:r w:rsidRPr="00030715">
              <w:rPr>
                <w:b/>
                <w:color w:val="000000"/>
              </w:rPr>
              <w:t>Engine Brake HP</w:t>
            </w:r>
          </w:p>
        </w:tc>
        <w:tc>
          <w:tcPr>
            <w:tcW w:w="1530" w:type="dxa"/>
            <w:tcBorders>
              <w:top w:val="single" w:sz="12" w:space="0" w:color="auto"/>
              <w:left w:val="single" w:sz="12" w:space="0" w:color="auto"/>
              <w:bottom w:val="single" w:sz="12" w:space="0" w:color="auto"/>
              <w:right w:val="single" w:sz="12" w:space="0" w:color="auto"/>
            </w:tcBorders>
            <w:shd w:val="clear" w:color="auto" w:fill="auto"/>
            <w:vAlign w:val="center"/>
            <w:hideMark/>
          </w:tcPr>
          <w:p w14:paraId="71243459" w14:textId="77777777" w:rsidR="00030715" w:rsidRPr="00030715" w:rsidRDefault="00030715" w:rsidP="00030715">
            <w:pPr>
              <w:tabs>
                <w:tab w:val="left" w:pos="1440"/>
              </w:tabs>
              <w:spacing w:before="120"/>
              <w:rPr>
                <w:color w:val="000000"/>
              </w:rPr>
            </w:pPr>
            <w:r w:rsidRPr="00030715">
              <w:rPr>
                <w:b/>
                <w:color w:val="000000"/>
              </w:rPr>
              <w:t>Date of Construction</w:t>
            </w:r>
          </w:p>
        </w:tc>
        <w:tc>
          <w:tcPr>
            <w:tcW w:w="900" w:type="dxa"/>
            <w:tcBorders>
              <w:top w:val="single" w:sz="12" w:space="0" w:color="auto"/>
              <w:left w:val="single" w:sz="12" w:space="0" w:color="auto"/>
              <w:bottom w:val="single" w:sz="12" w:space="0" w:color="auto"/>
              <w:right w:val="single" w:sz="12" w:space="0" w:color="auto"/>
            </w:tcBorders>
            <w:shd w:val="clear" w:color="auto" w:fill="auto"/>
            <w:vAlign w:val="center"/>
            <w:hideMark/>
          </w:tcPr>
          <w:p w14:paraId="14F939DD" w14:textId="77777777" w:rsidR="00030715" w:rsidRPr="00030715" w:rsidRDefault="00030715" w:rsidP="00030715">
            <w:pPr>
              <w:tabs>
                <w:tab w:val="left" w:pos="1440"/>
              </w:tabs>
              <w:spacing w:before="120"/>
              <w:rPr>
                <w:b/>
                <w:color w:val="000000"/>
              </w:rPr>
            </w:pPr>
            <w:r w:rsidRPr="00030715">
              <w:rPr>
                <w:b/>
                <w:color w:val="000000"/>
              </w:rPr>
              <w:t>Model Year</w:t>
            </w:r>
          </w:p>
        </w:tc>
        <w:tc>
          <w:tcPr>
            <w:tcW w:w="1620" w:type="dxa"/>
            <w:tcBorders>
              <w:top w:val="single" w:sz="12" w:space="0" w:color="auto"/>
              <w:left w:val="single" w:sz="12" w:space="0" w:color="auto"/>
              <w:bottom w:val="single" w:sz="12" w:space="0" w:color="auto"/>
              <w:right w:val="single" w:sz="12" w:space="0" w:color="auto"/>
            </w:tcBorders>
            <w:shd w:val="clear" w:color="auto" w:fill="auto"/>
            <w:vAlign w:val="center"/>
            <w:hideMark/>
          </w:tcPr>
          <w:p w14:paraId="382D8CC2" w14:textId="77777777" w:rsidR="00030715" w:rsidRPr="00030715" w:rsidRDefault="00030715" w:rsidP="00030715">
            <w:pPr>
              <w:tabs>
                <w:tab w:val="left" w:pos="1440"/>
              </w:tabs>
              <w:spacing w:before="120"/>
              <w:rPr>
                <w:color w:val="000000"/>
              </w:rPr>
            </w:pPr>
            <w:r w:rsidRPr="00030715">
              <w:rPr>
                <w:b/>
                <w:color w:val="000000"/>
              </w:rPr>
              <w:t>Displacement liters/cylinder (l/c)</w:t>
            </w:r>
          </w:p>
        </w:tc>
        <w:tc>
          <w:tcPr>
            <w:tcW w:w="1620" w:type="dxa"/>
            <w:tcBorders>
              <w:top w:val="single" w:sz="12" w:space="0" w:color="auto"/>
              <w:left w:val="single" w:sz="12" w:space="0" w:color="auto"/>
              <w:bottom w:val="single" w:sz="12" w:space="0" w:color="auto"/>
              <w:right w:val="single" w:sz="12" w:space="0" w:color="auto"/>
            </w:tcBorders>
            <w:shd w:val="clear" w:color="auto" w:fill="auto"/>
            <w:vAlign w:val="center"/>
            <w:hideMark/>
          </w:tcPr>
          <w:p w14:paraId="467DAE2A" w14:textId="77777777" w:rsidR="00030715" w:rsidRPr="00030715" w:rsidRDefault="00030715" w:rsidP="00030715">
            <w:pPr>
              <w:tabs>
                <w:tab w:val="left" w:pos="1440"/>
              </w:tabs>
              <w:spacing w:before="120"/>
              <w:rPr>
                <w:b/>
                <w:color w:val="000000"/>
              </w:rPr>
            </w:pPr>
            <w:r w:rsidRPr="00030715">
              <w:rPr>
                <w:b/>
                <w:color w:val="000000"/>
              </w:rPr>
              <w:t>Engine Manufacturer</w:t>
            </w:r>
          </w:p>
        </w:tc>
        <w:tc>
          <w:tcPr>
            <w:tcW w:w="900" w:type="dxa"/>
            <w:tcBorders>
              <w:top w:val="single" w:sz="12" w:space="0" w:color="auto"/>
              <w:left w:val="single" w:sz="12" w:space="0" w:color="auto"/>
              <w:bottom w:val="single" w:sz="12" w:space="0" w:color="auto"/>
              <w:right w:val="single" w:sz="12" w:space="0" w:color="auto"/>
            </w:tcBorders>
            <w:shd w:val="clear" w:color="auto" w:fill="auto"/>
            <w:vAlign w:val="center"/>
            <w:hideMark/>
          </w:tcPr>
          <w:p w14:paraId="5E8F6A3B" w14:textId="77777777" w:rsidR="00030715" w:rsidRPr="00030715" w:rsidRDefault="00030715" w:rsidP="00030715">
            <w:pPr>
              <w:tabs>
                <w:tab w:val="left" w:pos="1440"/>
              </w:tabs>
              <w:spacing w:before="120"/>
              <w:rPr>
                <w:b/>
                <w:color w:val="000000"/>
              </w:rPr>
            </w:pPr>
            <w:r w:rsidRPr="00030715">
              <w:rPr>
                <w:b/>
                <w:color w:val="000000"/>
              </w:rPr>
              <w:t>Model No.</w:t>
            </w:r>
          </w:p>
        </w:tc>
      </w:tr>
      <w:tr w:rsidR="00030715" w:rsidRPr="00030715" w14:paraId="1D449E55" w14:textId="77777777" w:rsidTr="00030715">
        <w:tc>
          <w:tcPr>
            <w:tcW w:w="2610" w:type="dxa"/>
            <w:tcBorders>
              <w:top w:val="single" w:sz="12" w:space="0" w:color="auto"/>
              <w:left w:val="single" w:sz="12" w:space="0" w:color="auto"/>
              <w:bottom w:val="single" w:sz="8" w:space="0" w:color="auto"/>
              <w:right w:val="single" w:sz="12" w:space="0" w:color="auto"/>
            </w:tcBorders>
            <w:vAlign w:val="center"/>
            <w:hideMark/>
          </w:tcPr>
          <w:p w14:paraId="62DB166A" w14:textId="77777777" w:rsidR="00030715" w:rsidRPr="00030715" w:rsidRDefault="00030715" w:rsidP="00030715">
            <w:pPr>
              <w:tabs>
                <w:tab w:val="left" w:pos="1440"/>
              </w:tabs>
              <w:spacing w:before="120"/>
              <w:rPr>
                <w:color w:val="000000"/>
              </w:rPr>
            </w:pPr>
            <w:r w:rsidRPr="00030715">
              <w:rPr>
                <w:color w:val="000000"/>
              </w:rPr>
              <w:t>Two Hurricane Emergency Shelter Generators</w:t>
            </w:r>
          </w:p>
        </w:tc>
        <w:tc>
          <w:tcPr>
            <w:tcW w:w="990" w:type="dxa"/>
            <w:tcBorders>
              <w:top w:val="single" w:sz="12" w:space="0" w:color="auto"/>
              <w:left w:val="single" w:sz="12" w:space="0" w:color="auto"/>
              <w:bottom w:val="single" w:sz="8" w:space="0" w:color="auto"/>
              <w:right w:val="single" w:sz="12" w:space="0" w:color="auto"/>
            </w:tcBorders>
            <w:vAlign w:val="center"/>
            <w:hideMark/>
          </w:tcPr>
          <w:p w14:paraId="09F7D40D" w14:textId="77777777" w:rsidR="00030715" w:rsidRPr="00030715" w:rsidRDefault="00030715" w:rsidP="00030715">
            <w:pPr>
              <w:tabs>
                <w:tab w:val="left" w:pos="1440"/>
              </w:tabs>
              <w:spacing w:before="120"/>
              <w:rPr>
                <w:color w:val="000000"/>
              </w:rPr>
            </w:pPr>
            <w:r w:rsidRPr="00030715">
              <w:rPr>
                <w:color w:val="000000"/>
              </w:rPr>
              <w:t xml:space="preserve">36 </w:t>
            </w:r>
          </w:p>
          <w:p w14:paraId="038EADA6" w14:textId="77777777" w:rsidR="00030715" w:rsidRPr="00030715" w:rsidRDefault="00030715" w:rsidP="00030715">
            <w:pPr>
              <w:tabs>
                <w:tab w:val="left" w:pos="1440"/>
              </w:tabs>
              <w:spacing w:before="120"/>
              <w:rPr>
                <w:color w:val="000000"/>
              </w:rPr>
            </w:pPr>
            <w:r w:rsidRPr="00030715">
              <w:rPr>
                <w:color w:val="000000"/>
              </w:rPr>
              <w:t>(27 kW)</w:t>
            </w:r>
          </w:p>
        </w:tc>
        <w:tc>
          <w:tcPr>
            <w:tcW w:w="1530" w:type="dxa"/>
            <w:tcBorders>
              <w:top w:val="single" w:sz="12" w:space="0" w:color="auto"/>
              <w:left w:val="single" w:sz="12" w:space="0" w:color="auto"/>
              <w:bottom w:val="single" w:sz="8" w:space="0" w:color="auto"/>
              <w:right w:val="single" w:sz="12" w:space="0" w:color="auto"/>
            </w:tcBorders>
            <w:vAlign w:val="center"/>
            <w:hideMark/>
          </w:tcPr>
          <w:p w14:paraId="13A87241" w14:textId="77777777" w:rsidR="00030715" w:rsidRPr="00030715" w:rsidRDefault="00030715" w:rsidP="00030715">
            <w:pPr>
              <w:tabs>
                <w:tab w:val="left" w:pos="1440"/>
              </w:tabs>
              <w:spacing w:before="120"/>
              <w:rPr>
                <w:color w:val="000000"/>
              </w:rPr>
            </w:pPr>
            <w:r w:rsidRPr="00030715">
              <w:rPr>
                <w:color w:val="000000"/>
              </w:rPr>
              <w:t>2005</w:t>
            </w:r>
          </w:p>
        </w:tc>
        <w:tc>
          <w:tcPr>
            <w:tcW w:w="900" w:type="dxa"/>
            <w:tcBorders>
              <w:top w:val="single" w:sz="12" w:space="0" w:color="auto"/>
              <w:left w:val="single" w:sz="12" w:space="0" w:color="auto"/>
              <w:bottom w:val="single" w:sz="8" w:space="0" w:color="auto"/>
              <w:right w:val="single" w:sz="12" w:space="0" w:color="auto"/>
            </w:tcBorders>
            <w:vAlign w:val="center"/>
            <w:hideMark/>
          </w:tcPr>
          <w:p w14:paraId="4033DCE3" w14:textId="77777777" w:rsidR="00030715" w:rsidRPr="00030715" w:rsidRDefault="00030715" w:rsidP="00030715">
            <w:pPr>
              <w:tabs>
                <w:tab w:val="left" w:pos="1440"/>
              </w:tabs>
              <w:spacing w:before="120"/>
              <w:rPr>
                <w:color w:val="000000"/>
              </w:rPr>
            </w:pPr>
            <w:r w:rsidRPr="00030715">
              <w:rPr>
                <w:color w:val="000000"/>
              </w:rPr>
              <w:t>2005</w:t>
            </w:r>
          </w:p>
        </w:tc>
        <w:tc>
          <w:tcPr>
            <w:tcW w:w="1620" w:type="dxa"/>
            <w:tcBorders>
              <w:top w:val="single" w:sz="12" w:space="0" w:color="auto"/>
              <w:left w:val="single" w:sz="12" w:space="0" w:color="auto"/>
              <w:bottom w:val="single" w:sz="8" w:space="0" w:color="auto"/>
              <w:right w:val="single" w:sz="12" w:space="0" w:color="auto"/>
            </w:tcBorders>
            <w:vAlign w:val="center"/>
            <w:hideMark/>
          </w:tcPr>
          <w:p w14:paraId="20ADCFED" w14:textId="77777777" w:rsidR="00030715" w:rsidRPr="00030715" w:rsidRDefault="00030715" w:rsidP="00030715">
            <w:pPr>
              <w:tabs>
                <w:tab w:val="left" w:pos="1440"/>
              </w:tabs>
              <w:spacing w:before="120"/>
              <w:rPr>
                <w:color w:val="000000"/>
              </w:rPr>
            </w:pPr>
            <w:r w:rsidRPr="00030715">
              <w:rPr>
                <w:color w:val="000000"/>
              </w:rPr>
              <w:t>1.0</w:t>
            </w:r>
          </w:p>
        </w:tc>
        <w:tc>
          <w:tcPr>
            <w:tcW w:w="1620" w:type="dxa"/>
            <w:tcBorders>
              <w:top w:val="single" w:sz="12" w:space="0" w:color="auto"/>
              <w:left w:val="single" w:sz="12" w:space="0" w:color="auto"/>
              <w:bottom w:val="single" w:sz="8" w:space="0" w:color="auto"/>
              <w:right w:val="single" w:sz="12" w:space="0" w:color="auto"/>
            </w:tcBorders>
            <w:vAlign w:val="center"/>
            <w:hideMark/>
          </w:tcPr>
          <w:p w14:paraId="470E7A4F" w14:textId="77777777" w:rsidR="00030715" w:rsidRPr="00030715" w:rsidRDefault="00030715" w:rsidP="00030715">
            <w:pPr>
              <w:tabs>
                <w:tab w:val="left" w:pos="1440"/>
              </w:tabs>
              <w:spacing w:before="120"/>
              <w:rPr>
                <w:color w:val="000000"/>
              </w:rPr>
            </w:pPr>
            <w:r w:rsidRPr="00030715">
              <w:rPr>
                <w:color w:val="000000"/>
              </w:rPr>
              <w:t>Generac</w:t>
            </w:r>
          </w:p>
        </w:tc>
        <w:tc>
          <w:tcPr>
            <w:tcW w:w="900" w:type="dxa"/>
            <w:tcBorders>
              <w:top w:val="single" w:sz="12" w:space="0" w:color="auto"/>
              <w:left w:val="single" w:sz="12" w:space="0" w:color="auto"/>
              <w:bottom w:val="single" w:sz="8" w:space="0" w:color="auto"/>
              <w:right w:val="single" w:sz="12" w:space="0" w:color="auto"/>
            </w:tcBorders>
            <w:vAlign w:val="center"/>
            <w:hideMark/>
          </w:tcPr>
          <w:p w14:paraId="1176FFEB" w14:textId="77777777" w:rsidR="00030715" w:rsidRPr="00030715" w:rsidRDefault="00030715" w:rsidP="00030715">
            <w:pPr>
              <w:tabs>
                <w:tab w:val="left" w:pos="1440"/>
              </w:tabs>
              <w:spacing w:before="120"/>
              <w:rPr>
                <w:color w:val="000000"/>
              </w:rPr>
            </w:pPr>
            <w:r w:rsidRPr="00030715">
              <w:rPr>
                <w:color w:val="000000"/>
              </w:rPr>
              <w:t>47253</w:t>
            </w:r>
          </w:p>
        </w:tc>
      </w:tr>
      <w:tr w:rsidR="00030715" w:rsidRPr="00030715" w14:paraId="2168BC29" w14:textId="77777777" w:rsidTr="00030715">
        <w:tc>
          <w:tcPr>
            <w:tcW w:w="2610" w:type="dxa"/>
            <w:tcBorders>
              <w:top w:val="single" w:sz="8" w:space="0" w:color="auto"/>
              <w:left w:val="single" w:sz="12" w:space="0" w:color="auto"/>
              <w:bottom w:val="single" w:sz="12" w:space="0" w:color="auto"/>
              <w:right w:val="single" w:sz="12" w:space="0" w:color="auto"/>
            </w:tcBorders>
            <w:vAlign w:val="center"/>
            <w:hideMark/>
          </w:tcPr>
          <w:p w14:paraId="6C7AF30D" w14:textId="77777777" w:rsidR="00030715" w:rsidRPr="00030715" w:rsidRDefault="00030715" w:rsidP="00030715">
            <w:pPr>
              <w:tabs>
                <w:tab w:val="left" w:pos="1440"/>
              </w:tabs>
              <w:spacing w:before="120"/>
              <w:rPr>
                <w:color w:val="000000"/>
              </w:rPr>
            </w:pPr>
            <w:r w:rsidRPr="00030715">
              <w:rPr>
                <w:color w:val="000000"/>
              </w:rPr>
              <w:t>Two Hurricane Emergency Shelter Generator</w:t>
            </w:r>
          </w:p>
        </w:tc>
        <w:tc>
          <w:tcPr>
            <w:tcW w:w="990" w:type="dxa"/>
            <w:tcBorders>
              <w:top w:val="single" w:sz="8" w:space="0" w:color="auto"/>
              <w:left w:val="single" w:sz="12" w:space="0" w:color="auto"/>
              <w:bottom w:val="single" w:sz="12" w:space="0" w:color="auto"/>
              <w:right w:val="single" w:sz="12" w:space="0" w:color="auto"/>
            </w:tcBorders>
            <w:vAlign w:val="center"/>
            <w:hideMark/>
          </w:tcPr>
          <w:p w14:paraId="43CB2133" w14:textId="77777777" w:rsidR="00030715" w:rsidRPr="00030715" w:rsidRDefault="00030715" w:rsidP="00030715">
            <w:pPr>
              <w:tabs>
                <w:tab w:val="left" w:pos="1440"/>
              </w:tabs>
              <w:spacing w:before="120"/>
              <w:rPr>
                <w:color w:val="000000"/>
              </w:rPr>
            </w:pPr>
            <w:r w:rsidRPr="00030715">
              <w:rPr>
                <w:color w:val="000000"/>
              </w:rPr>
              <w:t xml:space="preserve">50 </w:t>
            </w:r>
          </w:p>
          <w:p w14:paraId="62C57585" w14:textId="77777777" w:rsidR="00030715" w:rsidRPr="00030715" w:rsidRDefault="00030715" w:rsidP="00030715">
            <w:pPr>
              <w:tabs>
                <w:tab w:val="left" w:pos="1440"/>
              </w:tabs>
              <w:spacing w:before="120"/>
              <w:rPr>
                <w:color w:val="000000"/>
              </w:rPr>
            </w:pPr>
            <w:r w:rsidRPr="00030715">
              <w:rPr>
                <w:color w:val="000000"/>
              </w:rPr>
              <w:t>(37 kW)</w:t>
            </w:r>
          </w:p>
        </w:tc>
        <w:tc>
          <w:tcPr>
            <w:tcW w:w="1530" w:type="dxa"/>
            <w:tcBorders>
              <w:top w:val="single" w:sz="8" w:space="0" w:color="auto"/>
              <w:left w:val="single" w:sz="12" w:space="0" w:color="auto"/>
              <w:bottom w:val="single" w:sz="12" w:space="0" w:color="auto"/>
              <w:right w:val="single" w:sz="12" w:space="0" w:color="auto"/>
            </w:tcBorders>
            <w:vAlign w:val="center"/>
            <w:hideMark/>
          </w:tcPr>
          <w:p w14:paraId="4C3A60E8" w14:textId="77777777" w:rsidR="00030715" w:rsidRPr="00030715" w:rsidRDefault="00030715" w:rsidP="00030715">
            <w:pPr>
              <w:tabs>
                <w:tab w:val="left" w:pos="1440"/>
              </w:tabs>
              <w:spacing w:before="120"/>
              <w:rPr>
                <w:color w:val="000000"/>
              </w:rPr>
            </w:pPr>
            <w:r w:rsidRPr="00030715">
              <w:rPr>
                <w:color w:val="000000"/>
              </w:rPr>
              <w:t>2005</w:t>
            </w:r>
          </w:p>
        </w:tc>
        <w:tc>
          <w:tcPr>
            <w:tcW w:w="900" w:type="dxa"/>
            <w:tcBorders>
              <w:top w:val="single" w:sz="8" w:space="0" w:color="auto"/>
              <w:left w:val="single" w:sz="12" w:space="0" w:color="auto"/>
              <w:bottom w:val="single" w:sz="12" w:space="0" w:color="auto"/>
              <w:right w:val="single" w:sz="12" w:space="0" w:color="auto"/>
            </w:tcBorders>
            <w:vAlign w:val="center"/>
            <w:hideMark/>
          </w:tcPr>
          <w:p w14:paraId="76A48C34" w14:textId="77777777" w:rsidR="00030715" w:rsidRPr="00030715" w:rsidRDefault="00030715" w:rsidP="00030715">
            <w:pPr>
              <w:tabs>
                <w:tab w:val="left" w:pos="1440"/>
              </w:tabs>
              <w:spacing w:before="120"/>
              <w:rPr>
                <w:color w:val="000000"/>
              </w:rPr>
            </w:pPr>
            <w:r w:rsidRPr="00030715">
              <w:rPr>
                <w:color w:val="000000"/>
              </w:rPr>
              <w:t>2005</w:t>
            </w:r>
          </w:p>
        </w:tc>
        <w:tc>
          <w:tcPr>
            <w:tcW w:w="1620" w:type="dxa"/>
            <w:tcBorders>
              <w:top w:val="single" w:sz="8" w:space="0" w:color="auto"/>
              <w:left w:val="single" w:sz="12" w:space="0" w:color="auto"/>
              <w:bottom w:val="single" w:sz="12" w:space="0" w:color="auto"/>
              <w:right w:val="single" w:sz="12" w:space="0" w:color="auto"/>
            </w:tcBorders>
            <w:vAlign w:val="center"/>
            <w:hideMark/>
          </w:tcPr>
          <w:p w14:paraId="21A3A49F" w14:textId="77777777" w:rsidR="00030715" w:rsidRPr="00030715" w:rsidRDefault="00030715" w:rsidP="00030715">
            <w:pPr>
              <w:tabs>
                <w:tab w:val="left" w:pos="1440"/>
              </w:tabs>
              <w:spacing w:before="120"/>
              <w:rPr>
                <w:color w:val="000000"/>
              </w:rPr>
            </w:pPr>
            <w:r w:rsidRPr="00030715">
              <w:rPr>
                <w:color w:val="000000"/>
              </w:rPr>
              <w:t>1.0</w:t>
            </w:r>
          </w:p>
        </w:tc>
        <w:tc>
          <w:tcPr>
            <w:tcW w:w="1620" w:type="dxa"/>
            <w:tcBorders>
              <w:top w:val="single" w:sz="8" w:space="0" w:color="auto"/>
              <w:left w:val="single" w:sz="12" w:space="0" w:color="auto"/>
              <w:bottom w:val="single" w:sz="12" w:space="0" w:color="auto"/>
              <w:right w:val="single" w:sz="12" w:space="0" w:color="auto"/>
            </w:tcBorders>
            <w:vAlign w:val="center"/>
            <w:hideMark/>
          </w:tcPr>
          <w:p w14:paraId="1DEF39D0" w14:textId="77777777" w:rsidR="00030715" w:rsidRPr="00030715" w:rsidRDefault="00030715" w:rsidP="00030715">
            <w:pPr>
              <w:tabs>
                <w:tab w:val="left" w:pos="1440"/>
              </w:tabs>
              <w:spacing w:before="120"/>
              <w:rPr>
                <w:color w:val="000000"/>
              </w:rPr>
            </w:pPr>
            <w:r w:rsidRPr="00030715">
              <w:rPr>
                <w:color w:val="000000"/>
              </w:rPr>
              <w:t>Generac</w:t>
            </w:r>
          </w:p>
        </w:tc>
        <w:tc>
          <w:tcPr>
            <w:tcW w:w="900" w:type="dxa"/>
            <w:tcBorders>
              <w:top w:val="single" w:sz="8" w:space="0" w:color="auto"/>
              <w:left w:val="single" w:sz="12" w:space="0" w:color="auto"/>
              <w:bottom w:val="single" w:sz="12" w:space="0" w:color="auto"/>
              <w:right w:val="single" w:sz="12" w:space="0" w:color="auto"/>
            </w:tcBorders>
            <w:vAlign w:val="center"/>
            <w:hideMark/>
          </w:tcPr>
          <w:p w14:paraId="7D899010" w14:textId="77777777" w:rsidR="00030715" w:rsidRPr="00030715" w:rsidRDefault="00030715" w:rsidP="00030715">
            <w:pPr>
              <w:tabs>
                <w:tab w:val="left" w:pos="1440"/>
              </w:tabs>
              <w:spacing w:before="120"/>
              <w:rPr>
                <w:color w:val="000000"/>
              </w:rPr>
            </w:pPr>
            <w:r w:rsidRPr="00030715">
              <w:rPr>
                <w:color w:val="000000"/>
              </w:rPr>
              <w:t>47231</w:t>
            </w:r>
          </w:p>
        </w:tc>
      </w:tr>
    </w:tbl>
    <w:p w14:paraId="4C9521AD" w14:textId="7E4BF0E8" w:rsidR="00637412" w:rsidRPr="005047D6" w:rsidRDefault="00030715" w:rsidP="00030715">
      <w:pPr>
        <w:tabs>
          <w:tab w:val="left" w:pos="1440"/>
        </w:tabs>
        <w:spacing w:before="120"/>
        <w:rPr>
          <w:i/>
          <w:color w:val="000000"/>
        </w:rPr>
      </w:pPr>
      <w:bookmarkStart w:id="253" w:name="_Hlk520730577"/>
      <w:r w:rsidRPr="005047D6">
        <w:rPr>
          <w:i/>
          <w:color w:val="000000"/>
        </w:rPr>
        <w:t xml:space="preserve">{Permitting Note:  These SI RICE are regulated under:  40 CFR 63, Subpart A, General Provisions, and 40 CFR 63, Subpart ZZZZ, NESHAP for Stationary RICE adopted by reference in Rule 62-204.800(11)(d)1. and (11)(b)82., F.A.C., respectively.  These RICE are exempted from regulations under 40 CFR 60, Subpart JJJJ – </w:t>
      </w:r>
      <w:r w:rsidR="007E7419" w:rsidRPr="005047D6">
        <w:rPr>
          <w:i/>
          <w:color w:val="000000"/>
        </w:rPr>
        <w:t xml:space="preserve">Standards of Performance for Stationary Spark Ignition (SI) ICE </w:t>
      </w:r>
      <w:r w:rsidRPr="005047D6">
        <w:rPr>
          <w:i/>
          <w:color w:val="000000"/>
        </w:rPr>
        <w:t>based on the manufacturer date.  These are “existing” stationary SI RICE less than or equal to 500 bhp, with a displacement of less than 10 liters per cylinder that are located at a major source of HAP and that have not been modified or reconstructed after 6/12/2006.}</w:t>
      </w:r>
      <w:bookmarkEnd w:id="253"/>
    </w:p>
    <w:p w14:paraId="462A8B79" w14:textId="32BF9C6A" w:rsidR="007E7419" w:rsidRDefault="007E7419" w:rsidP="002F61DE">
      <w:pPr>
        <w:tabs>
          <w:tab w:val="left" w:pos="1440"/>
        </w:tabs>
        <w:spacing w:before="120" w:after="120"/>
        <w:rPr>
          <w:b/>
          <w:color w:val="000000"/>
          <w:u w:val="single"/>
        </w:rPr>
      </w:pPr>
      <w:r w:rsidRPr="007E7419">
        <w:rPr>
          <w:b/>
          <w:color w:val="000000"/>
          <w:u w:val="single"/>
        </w:rPr>
        <w:t>Essential Potential to Emit (PTE) Parameters</w:t>
      </w:r>
    </w:p>
    <w:p w14:paraId="4210E124" w14:textId="77777777" w:rsidR="002F61DE" w:rsidRDefault="002F61DE" w:rsidP="00114020">
      <w:pPr>
        <w:pStyle w:val="ListParagraph"/>
        <w:numPr>
          <w:ilvl w:val="0"/>
          <w:numId w:val="116"/>
        </w:numPr>
        <w:tabs>
          <w:tab w:val="left" w:pos="360"/>
          <w:tab w:val="left" w:pos="720"/>
          <w:tab w:val="left" w:pos="1080"/>
          <w:tab w:val="left" w:pos="1440"/>
        </w:tabs>
        <w:ind w:left="720"/>
      </w:pPr>
      <w:bookmarkStart w:id="254" w:name="_Hlk520730688"/>
      <w:r>
        <w:rPr>
          <w:u w:val="single"/>
        </w:rPr>
        <w:t>Hours of Operation</w:t>
      </w:r>
      <w:r>
        <w:t>.</w:t>
      </w:r>
    </w:p>
    <w:p w14:paraId="1C99F2DA" w14:textId="77777777" w:rsidR="002F61DE" w:rsidRDefault="002F61DE" w:rsidP="00114020">
      <w:pPr>
        <w:numPr>
          <w:ilvl w:val="1"/>
          <w:numId w:val="117"/>
        </w:numPr>
        <w:tabs>
          <w:tab w:val="left" w:pos="360"/>
          <w:tab w:val="left" w:pos="720"/>
          <w:tab w:val="left" w:pos="1080"/>
          <w:tab w:val="left" w:pos="1440"/>
        </w:tabs>
        <w:ind w:left="720"/>
        <w:rPr>
          <w:szCs w:val="22"/>
        </w:rPr>
      </w:pPr>
      <w:r>
        <w:rPr>
          <w:i/>
          <w:szCs w:val="22"/>
        </w:rPr>
        <w:t>Emergency Situations</w:t>
      </w:r>
      <w:r>
        <w:rPr>
          <w:szCs w:val="22"/>
        </w:rPr>
        <w:t>.  There is no time limit on the use of emergency stationary RICE in emergency situations.  [40 CFR 63.6640(f)(1)]</w:t>
      </w:r>
    </w:p>
    <w:p w14:paraId="65C4CA9D" w14:textId="7F1A4E8A" w:rsidR="002F61DE" w:rsidRPr="005047D6" w:rsidRDefault="002F61DE" w:rsidP="005047D6">
      <w:pPr>
        <w:numPr>
          <w:ilvl w:val="1"/>
          <w:numId w:val="117"/>
        </w:numPr>
        <w:tabs>
          <w:tab w:val="left" w:pos="360"/>
          <w:tab w:val="left" w:pos="720"/>
          <w:tab w:val="left" w:pos="1080"/>
          <w:tab w:val="left" w:pos="1440"/>
        </w:tabs>
        <w:ind w:left="720"/>
        <w:rPr>
          <w:strike/>
          <w:szCs w:val="22"/>
        </w:rPr>
      </w:pPr>
      <w:bookmarkStart w:id="255" w:name="_Ref528937989"/>
      <w:r w:rsidRPr="005047D6">
        <w:rPr>
          <w:i/>
          <w:szCs w:val="22"/>
        </w:rPr>
        <w:t>Maintenance and Testing</w:t>
      </w:r>
      <w:r w:rsidRPr="005047D6">
        <w:rPr>
          <w:szCs w:val="22"/>
        </w:rPr>
        <w:t>.  Each RICE is authorized to operate</w:t>
      </w:r>
      <w:r w:rsidR="008C2E3D" w:rsidRPr="005047D6">
        <w:rPr>
          <w:szCs w:val="22"/>
        </w:rPr>
        <w:t xml:space="preserve"> for a </w:t>
      </w:r>
      <w:bookmarkStart w:id="256" w:name="_Hlk520796131"/>
      <w:r w:rsidR="008C2E3D" w:rsidRPr="005047D6">
        <w:rPr>
          <w:szCs w:val="22"/>
        </w:rPr>
        <w:t>maximum of 100 hours per calendar year</w:t>
      </w:r>
      <w:bookmarkEnd w:id="256"/>
      <w:r w:rsidRPr="005047D6">
        <w:rPr>
          <w:szCs w:val="22"/>
        </w:rPr>
        <w:t xml:space="preserve"> for the purpose of maintenance checks and readiness testing, provided that the tests are recommended by federal, state or local government, the manufacturer, the vendor, or the insurance company associated with the engine.  Maintenance checks and readiness testing of such units is limited to 100 hours per year.  </w:t>
      </w:r>
      <w:r w:rsidRPr="005047D6">
        <w:rPr>
          <w:color w:val="000000"/>
          <w:szCs w:val="22"/>
        </w:rPr>
        <w:t xml:space="preserve">The owner or operator may petition the Administrator for approval of additional hours to be used for maintenance checks and readiness testing, but a petition is not required if the owner or operator maintains records indicating that Federal, State, or local standards require maintenance and testing of emergency RICE beyond 100 hours per year.  </w:t>
      </w:r>
      <w:r w:rsidRPr="005047D6">
        <w:rPr>
          <w:szCs w:val="22"/>
        </w:rPr>
        <w:t>[40 CFR 63.6640(f)(2)(</w:t>
      </w:r>
      <w:proofErr w:type="spellStart"/>
      <w:r w:rsidRPr="005047D6">
        <w:rPr>
          <w:szCs w:val="22"/>
        </w:rPr>
        <w:t>i</w:t>
      </w:r>
      <w:proofErr w:type="spellEnd"/>
      <w:r w:rsidRPr="005047D6">
        <w:rPr>
          <w:szCs w:val="22"/>
        </w:rPr>
        <w:t>)]</w:t>
      </w:r>
      <w:bookmarkEnd w:id="255"/>
    </w:p>
    <w:p w14:paraId="239EADBD" w14:textId="2442A529" w:rsidR="002F61DE" w:rsidRPr="005047D6" w:rsidRDefault="002F61DE" w:rsidP="00114020">
      <w:pPr>
        <w:numPr>
          <w:ilvl w:val="1"/>
          <w:numId w:val="117"/>
        </w:numPr>
        <w:tabs>
          <w:tab w:val="left" w:pos="360"/>
          <w:tab w:val="left" w:pos="720"/>
          <w:tab w:val="left" w:pos="1080"/>
          <w:tab w:val="left" w:pos="1440"/>
        </w:tabs>
        <w:ind w:left="720"/>
        <w:rPr>
          <w:szCs w:val="22"/>
        </w:rPr>
      </w:pPr>
      <w:r w:rsidRPr="005047D6">
        <w:rPr>
          <w:i/>
          <w:szCs w:val="22"/>
        </w:rPr>
        <w:t>Non-emergency Situations</w:t>
      </w:r>
      <w:r w:rsidRPr="005047D6">
        <w:rPr>
          <w:szCs w:val="22"/>
        </w:rPr>
        <w:t>.  These RICE may be operated for up to 50 hours per calendar year in non-emergency situations.  The 50 hours of operation in non-emergency situations are counted as part of the 100 hours per calendar year for maintenance and testing provided in paragraph</w:t>
      </w:r>
      <w:r w:rsidR="00F84214">
        <w:rPr>
          <w:szCs w:val="22"/>
        </w:rPr>
        <w:t xml:space="preserve"> </w:t>
      </w:r>
      <w:r w:rsidR="00F84214" w:rsidRPr="00F84214">
        <w:rPr>
          <w:b/>
          <w:szCs w:val="22"/>
        </w:rPr>
        <w:fldChar w:fldCharType="begin"/>
      </w:r>
      <w:r w:rsidR="00F84214" w:rsidRPr="00F84214">
        <w:rPr>
          <w:b/>
          <w:szCs w:val="22"/>
        </w:rPr>
        <w:instrText xml:space="preserve"> REF _Ref528937989 \r \h </w:instrText>
      </w:r>
      <w:r w:rsidR="00F84214">
        <w:rPr>
          <w:b/>
          <w:szCs w:val="22"/>
        </w:rPr>
        <w:instrText xml:space="preserve"> \* MERGEFORMAT </w:instrText>
      </w:r>
      <w:r w:rsidR="00F84214" w:rsidRPr="00F84214">
        <w:rPr>
          <w:b/>
          <w:szCs w:val="22"/>
        </w:rPr>
      </w:r>
      <w:r w:rsidR="00F84214" w:rsidRPr="00F84214">
        <w:rPr>
          <w:b/>
          <w:szCs w:val="22"/>
        </w:rPr>
        <w:fldChar w:fldCharType="separate"/>
      </w:r>
      <w:r w:rsidR="00D31800">
        <w:rPr>
          <w:b/>
          <w:szCs w:val="22"/>
        </w:rPr>
        <w:t>b</w:t>
      </w:r>
      <w:r w:rsidR="00F84214" w:rsidRPr="00F84214">
        <w:rPr>
          <w:b/>
          <w:szCs w:val="22"/>
        </w:rPr>
        <w:fldChar w:fldCharType="end"/>
      </w:r>
      <w:r w:rsidRPr="005047D6">
        <w:rPr>
          <w:szCs w:val="22"/>
        </w:rPr>
        <w:t xml:space="preserve">, above.  The 50 hours per year for non-emergency situations cannot be used for peak shaving or non-emergency demand response, or to generate income for a facility to supply power to an electric grid or otherwise supply power as part of a financial arrangement with another entity.  </w:t>
      </w:r>
    </w:p>
    <w:p w14:paraId="194F21E3" w14:textId="1E2F250C" w:rsidR="002F61DE" w:rsidRPr="005047D6" w:rsidRDefault="002F61DE" w:rsidP="002F61DE">
      <w:pPr>
        <w:tabs>
          <w:tab w:val="left" w:pos="360"/>
          <w:tab w:val="left" w:pos="720"/>
          <w:tab w:val="left" w:pos="1080"/>
          <w:tab w:val="left" w:pos="1440"/>
        </w:tabs>
        <w:spacing w:after="120"/>
        <w:ind w:left="360"/>
        <w:rPr>
          <w:szCs w:val="22"/>
        </w:rPr>
      </w:pPr>
      <w:r w:rsidRPr="005047D6">
        <w:rPr>
          <w:szCs w:val="22"/>
        </w:rPr>
        <w:t>[40 CFR 63.6640(f)]</w:t>
      </w:r>
    </w:p>
    <w:p w14:paraId="1174A0E0" w14:textId="77777777" w:rsidR="0020447B" w:rsidRPr="0020447B" w:rsidRDefault="0020447B" w:rsidP="00114020">
      <w:pPr>
        <w:numPr>
          <w:ilvl w:val="0"/>
          <w:numId w:val="116"/>
        </w:numPr>
        <w:tabs>
          <w:tab w:val="left" w:pos="360"/>
          <w:tab w:val="left" w:pos="720"/>
          <w:tab w:val="left" w:pos="1080"/>
          <w:tab w:val="left" w:pos="1440"/>
        </w:tabs>
        <w:ind w:left="720"/>
        <w:contextualSpacing/>
        <w:rPr>
          <w:rFonts w:eastAsia="Calibri"/>
          <w:szCs w:val="22"/>
        </w:rPr>
      </w:pPr>
      <w:bookmarkStart w:id="257" w:name="_Ref520729560"/>
      <w:bookmarkEnd w:id="254"/>
      <w:r w:rsidRPr="0020447B">
        <w:rPr>
          <w:rFonts w:eastAsia="Calibri"/>
          <w:color w:val="000000"/>
          <w:szCs w:val="22"/>
          <w:u w:val="single"/>
        </w:rPr>
        <w:t>Work or Management Practice Standards</w:t>
      </w:r>
      <w:r w:rsidRPr="0020447B">
        <w:rPr>
          <w:rFonts w:eastAsia="Calibri"/>
          <w:color w:val="000000"/>
          <w:szCs w:val="22"/>
        </w:rPr>
        <w:t>.</w:t>
      </w:r>
      <w:bookmarkEnd w:id="257"/>
    </w:p>
    <w:p w14:paraId="424C7B2E" w14:textId="77777777" w:rsidR="0020447B" w:rsidRPr="0020447B" w:rsidRDefault="0020447B" w:rsidP="00114020">
      <w:pPr>
        <w:numPr>
          <w:ilvl w:val="1"/>
          <w:numId w:val="119"/>
        </w:numPr>
        <w:tabs>
          <w:tab w:val="clear" w:pos="1440"/>
          <w:tab w:val="left" w:pos="360"/>
          <w:tab w:val="left" w:pos="720"/>
          <w:tab w:val="left" w:pos="1080"/>
        </w:tabs>
        <w:autoSpaceDE w:val="0"/>
        <w:autoSpaceDN w:val="0"/>
        <w:adjustRightInd w:val="0"/>
        <w:ind w:left="720"/>
        <w:contextualSpacing/>
        <w:rPr>
          <w:rFonts w:eastAsia="Calibri"/>
          <w:color w:val="000000"/>
          <w:szCs w:val="22"/>
        </w:rPr>
      </w:pPr>
      <w:bookmarkStart w:id="258" w:name="_Ref520728497"/>
      <w:r w:rsidRPr="0020447B">
        <w:rPr>
          <w:rFonts w:eastAsia="Calibri"/>
          <w:i/>
          <w:color w:val="000000"/>
          <w:szCs w:val="22"/>
        </w:rPr>
        <w:t>Oil</w:t>
      </w:r>
      <w:r w:rsidRPr="0020447B">
        <w:rPr>
          <w:rFonts w:eastAsia="Calibri"/>
          <w:color w:val="000000"/>
          <w:szCs w:val="22"/>
        </w:rPr>
        <w:t>.  Change oil and filter every 500 hours of operation or annually, whichever comes first.  [40 CFR 63.6602 &amp; Table 2c.6.a.]</w:t>
      </w:r>
      <w:bookmarkEnd w:id="258"/>
    </w:p>
    <w:p w14:paraId="0B1E6A55" w14:textId="77777777" w:rsidR="0020447B" w:rsidRPr="0020447B" w:rsidRDefault="0020447B" w:rsidP="00114020">
      <w:pPr>
        <w:numPr>
          <w:ilvl w:val="1"/>
          <w:numId w:val="119"/>
        </w:numPr>
        <w:tabs>
          <w:tab w:val="clear" w:pos="1440"/>
          <w:tab w:val="left" w:pos="360"/>
          <w:tab w:val="left" w:pos="720"/>
          <w:tab w:val="left" w:pos="1080"/>
        </w:tabs>
        <w:autoSpaceDE w:val="0"/>
        <w:autoSpaceDN w:val="0"/>
        <w:adjustRightInd w:val="0"/>
        <w:ind w:left="720"/>
        <w:contextualSpacing/>
        <w:rPr>
          <w:rFonts w:eastAsia="Calibri"/>
          <w:color w:val="000000"/>
          <w:szCs w:val="22"/>
        </w:rPr>
      </w:pPr>
      <w:r w:rsidRPr="0020447B">
        <w:rPr>
          <w:rFonts w:eastAsia="Calibri"/>
          <w:i/>
          <w:color w:val="000000"/>
          <w:szCs w:val="22"/>
        </w:rPr>
        <w:t>Spark Plugs</w:t>
      </w:r>
      <w:r w:rsidRPr="0020447B">
        <w:rPr>
          <w:rFonts w:eastAsia="Calibri"/>
          <w:color w:val="000000"/>
          <w:szCs w:val="22"/>
        </w:rPr>
        <w:t>.  Inspect spark plugs every 1,000 hours of operation or annually, whichever comes first and replace as necessary.  [40 CFR 63.6602 &amp; Table 2c.6.b.]</w:t>
      </w:r>
    </w:p>
    <w:p w14:paraId="28E1F175" w14:textId="77777777" w:rsidR="0020447B" w:rsidRPr="0020447B" w:rsidRDefault="0020447B" w:rsidP="00114020">
      <w:pPr>
        <w:numPr>
          <w:ilvl w:val="1"/>
          <w:numId w:val="119"/>
        </w:numPr>
        <w:tabs>
          <w:tab w:val="clear" w:pos="1440"/>
          <w:tab w:val="left" w:pos="360"/>
          <w:tab w:val="left" w:pos="720"/>
          <w:tab w:val="left" w:pos="1080"/>
        </w:tabs>
        <w:autoSpaceDE w:val="0"/>
        <w:autoSpaceDN w:val="0"/>
        <w:adjustRightInd w:val="0"/>
        <w:ind w:left="720"/>
        <w:contextualSpacing/>
        <w:rPr>
          <w:rFonts w:eastAsia="Calibri"/>
          <w:color w:val="000000"/>
          <w:szCs w:val="22"/>
        </w:rPr>
      </w:pPr>
      <w:r w:rsidRPr="0020447B">
        <w:rPr>
          <w:rFonts w:eastAsia="Calibri"/>
          <w:i/>
          <w:color w:val="000000"/>
          <w:szCs w:val="22"/>
        </w:rPr>
        <w:t>Hoses and Belts</w:t>
      </w:r>
      <w:r w:rsidRPr="0020447B">
        <w:rPr>
          <w:rFonts w:eastAsia="Calibri"/>
          <w:color w:val="000000"/>
          <w:szCs w:val="22"/>
        </w:rPr>
        <w:t>.  Inspect all hoses and belts every 500 hours of operation or annually, whichever comes first, and replace as necessary.  [40 CFR 63.6602 &amp; Table 2c.6.c.]</w:t>
      </w:r>
    </w:p>
    <w:p w14:paraId="7EF8E047" w14:textId="77777777" w:rsidR="0020447B" w:rsidRPr="0020447B" w:rsidRDefault="0020447B" w:rsidP="00114020">
      <w:pPr>
        <w:numPr>
          <w:ilvl w:val="1"/>
          <w:numId w:val="119"/>
        </w:numPr>
        <w:tabs>
          <w:tab w:val="clear" w:pos="1440"/>
          <w:tab w:val="left" w:pos="360"/>
          <w:tab w:val="left" w:pos="720"/>
          <w:tab w:val="left" w:pos="1080"/>
        </w:tabs>
        <w:autoSpaceDE w:val="0"/>
        <w:autoSpaceDN w:val="0"/>
        <w:adjustRightInd w:val="0"/>
        <w:ind w:left="720"/>
        <w:contextualSpacing/>
        <w:rPr>
          <w:rFonts w:eastAsia="Calibri"/>
          <w:color w:val="000000"/>
          <w:szCs w:val="22"/>
        </w:rPr>
      </w:pPr>
      <w:bookmarkStart w:id="259" w:name="_Ref520729595"/>
      <w:r w:rsidRPr="0020447B">
        <w:rPr>
          <w:rFonts w:eastAsia="Calibri"/>
          <w:i/>
          <w:color w:val="000000"/>
          <w:szCs w:val="22"/>
        </w:rPr>
        <w:t>Operation and Maintenance</w:t>
      </w:r>
      <w:r w:rsidRPr="0020447B">
        <w:rPr>
          <w:rFonts w:eastAsia="Calibri"/>
          <w:color w:val="000000"/>
          <w:szCs w:val="22"/>
        </w:rPr>
        <w:t>.  Operate and maintain the stationary RICE according to the manufacturer's emission-related operation and maintenance instructions or develop and follow your own maintenance plan which must provide, to the extent practicable for the maintenance and operation of the engine in a manner consistent with good air pollution, control practice for minimizing emissions.  [40 CFR 63.6625(e), 63.6640(a) &amp; Table 6.9.a.]</w:t>
      </w:r>
      <w:bookmarkEnd w:id="259"/>
    </w:p>
    <w:p w14:paraId="2CC10EA3" w14:textId="77777777" w:rsidR="0020447B" w:rsidRPr="0020447B" w:rsidRDefault="0020447B" w:rsidP="00114020">
      <w:pPr>
        <w:numPr>
          <w:ilvl w:val="1"/>
          <w:numId w:val="119"/>
        </w:numPr>
        <w:tabs>
          <w:tab w:val="clear" w:pos="1440"/>
          <w:tab w:val="left" w:pos="360"/>
          <w:tab w:val="left" w:pos="720"/>
          <w:tab w:val="left" w:pos="1080"/>
        </w:tabs>
        <w:autoSpaceDE w:val="0"/>
        <w:autoSpaceDN w:val="0"/>
        <w:adjustRightInd w:val="0"/>
        <w:ind w:left="720"/>
        <w:contextualSpacing/>
        <w:rPr>
          <w:rFonts w:eastAsia="Calibri"/>
          <w:color w:val="000000"/>
          <w:szCs w:val="22"/>
        </w:rPr>
      </w:pPr>
      <w:r w:rsidRPr="0020447B">
        <w:rPr>
          <w:rFonts w:eastAsia="Calibri"/>
          <w:i/>
          <w:color w:val="000000"/>
          <w:szCs w:val="22"/>
        </w:rPr>
        <w:t>Engine Startup</w:t>
      </w:r>
      <w:r w:rsidRPr="0020447B">
        <w:rPr>
          <w:rFonts w:eastAsia="Calibri"/>
          <w:color w:val="000000"/>
          <w:szCs w:val="22"/>
        </w:rPr>
        <w:t>.  During periods of startup the owner or operator must minimize the engine's time spent at idle during startup and minimize the engine's startup time to a period needed for appropriate and safe loading of the engine, not to exceed 30 minutes.  [40 CFR 63.6625(h)]</w:t>
      </w:r>
    </w:p>
    <w:p w14:paraId="1F4EB42B" w14:textId="38C141BC" w:rsidR="00441FC9" w:rsidRPr="0020447B" w:rsidRDefault="0020447B" w:rsidP="00114020">
      <w:pPr>
        <w:numPr>
          <w:ilvl w:val="1"/>
          <w:numId w:val="119"/>
        </w:numPr>
        <w:tabs>
          <w:tab w:val="clear" w:pos="1440"/>
          <w:tab w:val="left" w:pos="360"/>
          <w:tab w:val="left" w:pos="720"/>
          <w:tab w:val="left" w:pos="1080"/>
        </w:tabs>
        <w:autoSpaceDE w:val="0"/>
        <w:autoSpaceDN w:val="0"/>
        <w:adjustRightInd w:val="0"/>
        <w:spacing w:after="120"/>
        <w:ind w:left="360"/>
        <w:rPr>
          <w:rFonts w:eastAsia="Calibri"/>
          <w:szCs w:val="22"/>
        </w:rPr>
      </w:pPr>
      <w:r w:rsidRPr="0020447B">
        <w:rPr>
          <w:rFonts w:eastAsia="Calibri"/>
          <w:i/>
          <w:color w:val="000000"/>
          <w:szCs w:val="22"/>
        </w:rPr>
        <w:t>Oil Analysis</w:t>
      </w:r>
      <w:r w:rsidRPr="0020447B">
        <w:rPr>
          <w:rFonts w:eastAsia="Calibri"/>
          <w:color w:val="000000"/>
          <w:szCs w:val="22"/>
        </w:rPr>
        <w:t xml:space="preserve">.  The owner or operator has the option of using an oil analysis program to extend the oil change requirement.  The oil analysis must be performed at the same frequency specified for changing the oil in paragraph </w:t>
      </w:r>
      <w:r w:rsidRPr="00441FC9">
        <w:rPr>
          <w:rFonts w:eastAsia="Calibri"/>
          <w:b/>
          <w:color w:val="000000"/>
          <w:szCs w:val="22"/>
        </w:rPr>
        <w:fldChar w:fldCharType="begin"/>
      </w:r>
      <w:r w:rsidRPr="00441FC9">
        <w:rPr>
          <w:rFonts w:eastAsia="Calibri"/>
          <w:b/>
          <w:color w:val="000000"/>
          <w:szCs w:val="22"/>
        </w:rPr>
        <w:instrText xml:space="preserve"> REF _Ref520728497 \r \h  \* MERGEFORMAT </w:instrText>
      </w:r>
      <w:r w:rsidRPr="00441FC9">
        <w:rPr>
          <w:rFonts w:eastAsia="Calibri"/>
          <w:b/>
          <w:color w:val="000000"/>
          <w:szCs w:val="22"/>
        </w:rPr>
      </w:r>
      <w:r w:rsidRPr="00441FC9">
        <w:rPr>
          <w:rFonts w:eastAsia="Calibri"/>
          <w:b/>
          <w:color w:val="000000"/>
          <w:szCs w:val="22"/>
        </w:rPr>
        <w:fldChar w:fldCharType="separate"/>
      </w:r>
      <w:r w:rsidR="00D31800">
        <w:rPr>
          <w:rFonts w:eastAsia="Calibri"/>
          <w:b/>
          <w:color w:val="000000"/>
          <w:szCs w:val="22"/>
        </w:rPr>
        <w:t>a</w:t>
      </w:r>
      <w:r w:rsidRPr="00441FC9">
        <w:rPr>
          <w:rFonts w:eastAsia="Calibri"/>
          <w:b/>
          <w:color w:val="000000"/>
          <w:szCs w:val="22"/>
        </w:rPr>
        <w:fldChar w:fldCharType="end"/>
      </w:r>
      <w:r w:rsidRPr="0020447B">
        <w:rPr>
          <w:rFonts w:eastAsia="Calibri"/>
          <w:color w:val="000000"/>
          <w:szCs w:val="22"/>
        </w:rPr>
        <w:t>, above.  The analysis program must at a minimum analyze the following three parameters:  Total Acid Number, viscosity, and percent water content.  The condemning limits for these parameters are as follows:  Total Acid Number increases by more than 3.0 milligrams of potassium hydroxide (KOH) per gram from Total Acid Number of the oil when new; viscosity of the oil has changed by more than 20 percent from the viscosity of the oil when new; or percent water content (by volume) is greater than 0.5. If all of these condemning limits are not exceeded, the engine owner or operator is not required to change the oil. If any of the limits are exceeded, the engine owner or operator must change the oil within 2 business days of receiving the results of the analysis; if the engine is not in operation when the results of the analysis are received, the engine owner or operator must change the oil within 2 business days or before commencing operation, whichever is later. The owner or operator must keep records of the parameters that are analyzed as part of the program, the results of the analysis, and the oil changes for the engine. The analysis program must be part of the maintenance plan for the engine.  [40 CFR 63.6625(j)]</w:t>
      </w:r>
    </w:p>
    <w:p w14:paraId="452B925D" w14:textId="77777777" w:rsidR="0020447B" w:rsidRDefault="0020447B" w:rsidP="0020447B">
      <w:pPr>
        <w:tabs>
          <w:tab w:val="left" w:pos="0"/>
          <w:tab w:val="left" w:pos="360"/>
          <w:tab w:val="left" w:pos="720"/>
          <w:tab w:val="left" w:pos="1080"/>
          <w:tab w:val="left" w:pos="1440"/>
        </w:tabs>
        <w:suppressAutoHyphens/>
        <w:spacing w:before="120" w:after="120"/>
        <w:rPr>
          <w:b/>
          <w:szCs w:val="22"/>
          <w:u w:val="single"/>
        </w:rPr>
      </w:pPr>
      <w:r>
        <w:rPr>
          <w:b/>
          <w:szCs w:val="22"/>
          <w:u w:val="single"/>
        </w:rPr>
        <w:t>Monitoring of Operations</w:t>
      </w:r>
    </w:p>
    <w:p w14:paraId="339AD25A" w14:textId="77777777" w:rsidR="0020447B" w:rsidRDefault="0020447B" w:rsidP="00114020">
      <w:pPr>
        <w:pStyle w:val="ListParagraph"/>
        <w:numPr>
          <w:ilvl w:val="0"/>
          <w:numId w:val="116"/>
        </w:numPr>
        <w:tabs>
          <w:tab w:val="left" w:pos="360"/>
          <w:tab w:val="left" w:pos="720"/>
          <w:tab w:val="left" w:pos="1080"/>
          <w:tab w:val="left" w:pos="1440"/>
        </w:tabs>
        <w:spacing w:after="120"/>
        <w:ind w:left="360" w:hanging="360"/>
        <w:contextualSpacing w:val="0"/>
        <w:rPr>
          <w:szCs w:val="22"/>
        </w:rPr>
      </w:pPr>
      <w:r>
        <w:rPr>
          <w:color w:val="000000"/>
          <w:u w:val="single"/>
        </w:rPr>
        <w:t>Hour Meter</w:t>
      </w:r>
      <w:r>
        <w:rPr>
          <w:color w:val="000000"/>
        </w:rPr>
        <w:t>.  The owner or operator must install a non-resettable hour meter if one is not already installed.  [40 CFR 63.6625(f)]</w:t>
      </w:r>
    </w:p>
    <w:p w14:paraId="0FD1E25C" w14:textId="77777777" w:rsidR="00441FC9" w:rsidRDefault="00441FC9" w:rsidP="00441FC9">
      <w:pPr>
        <w:tabs>
          <w:tab w:val="left" w:pos="0"/>
          <w:tab w:val="left" w:pos="360"/>
          <w:tab w:val="left" w:pos="720"/>
          <w:tab w:val="left" w:pos="1080"/>
          <w:tab w:val="left" w:pos="1440"/>
        </w:tabs>
        <w:suppressAutoHyphens/>
        <w:spacing w:after="120"/>
        <w:rPr>
          <w:b/>
          <w:szCs w:val="22"/>
          <w:u w:val="single"/>
        </w:rPr>
      </w:pPr>
      <w:r>
        <w:rPr>
          <w:b/>
          <w:szCs w:val="22"/>
          <w:u w:val="single"/>
        </w:rPr>
        <w:t>Compliance</w:t>
      </w:r>
    </w:p>
    <w:p w14:paraId="01E5A789" w14:textId="77777777" w:rsidR="00441FC9" w:rsidRDefault="00441FC9" w:rsidP="00114020">
      <w:pPr>
        <w:pStyle w:val="ListParagraph"/>
        <w:numPr>
          <w:ilvl w:val="0"/>
          <w:numId w:val="116"/>
        </w:numPr>
        <w:tabs>
          <w:tab w:val="clear" w:pos="900"/>
          <w:tab w:val="left" w:pos="360"/>
          <w:tab w:val="left" w:pos="720"/>
          <w:tab w:val="left" w:pos="1080"/>
          <w:tab w:val="left" w:pos="1440"/>
        </w:tabs>
        <w:spacing w:after="120"/>
        <w:ind w:left="360" w:hanging="360"/>
        <w:contextualSpacing w:val="0"/>
        <w:rPr>
          <w:color w:val="000000"/>
          <w:szCs w:val="22"/>
        </w:rPr>
      </w:pPr>
      <w:r>
        <w:rPr>
          <w:color w:val="000000"/>
          <w:u w:val="single"/>
        </w:rPr>
        <w:t>Continuous Compliance</w:t>
      </w:r>
      <w:r>
        <w:rPr>
          <w:color w:val="000000"/>
        </w:rPr>
        <w:t>.  Each unit shall be in compliance with the emission limitations and operating standards in this section at all times.  [40 CFR 63.6605(a)]</w:t>
      </w:r>
    </w:p>
    <w:p w14:paraId="6258EA84" w14:textId="77777777" w:rsidR="00441FC9" w:rsidRDefault="00441FC9" w:rsidP="00114020">
      <w:pPr>
        <w:pStyle w:val="ListParagraph"/>
        <w:numPr>
          <w:ilvl w:val="0"/>
          <w:numId w:val="116"/>
        </w:numPr>
        <w:tabs>
          <w:tab w:val="clear" w:pos="900"/>
          <w:tab w:val="left" w:pos="360"/>
          <w:tab w:val="left" w:pos="720"/>
          <w:tab w:val="left" w:pos="1080"/>
          <w:tab w:val="left" w:pos="1440"/>
        </w:tabs>
        <w:spacing w:after="120"/>
        <w:ind w:left="360" w:hanging="360"/>
        <w:contextualSpacing w:val="0"/>
        <w:rPr>
          <w:color w:val="000000"/>
        </w:rPr>
      </w:pPr>
      <w:bookmarkStart w:id="260" w:name="_Ref520729527"/>
      <w:r>
        <w:rPr>
          <w:color w:val="000000"/>
          <w:u w:val="single"/>
        </w:rPr>
        <w:t>Operation and Maintenance of Equipment</w:t>
      </w:r>
      <w:r>
        <w:rPr>
          <w:color w:val="000000"/>
        </w:rPr>
        <w:t>.  At all times the owner or operator must operate and maintain, any affected source, including associated air pollution control equipment and monitoring equipment, in a manner consistent with safety and good air pollution control practices for minimizing emissions.  Determination of whether such operation and maintenance procedures are being used will be based on information available to the compliance authority which may include, but is not limited to, monitoring results, review of operation and maintenance procedures, review of operation and maintenance records, and inspection of the source.  [40 CFR 63.6605(b)]</w:t>
      </w:r>
      <w:bookmarkEnd w:id="260"/>
    </w:p>
    <w:p w14:paraId="6C1BC611" w14:textId="77777777" w:rsidR="00441FC9" w:rsidRDefault="00441FC9" w:rsidP="00441FC9">
      <w:pPr>
        <w:tabs>
          <w:tab w:val="left" w:pos="0"/>
          <w:tab w:val="left" w:pos="360"/>
          <w:tab w:val="left" w:pos="720"/>
          <w:tab w:val="left" w:pos="1080"/>
          <w:tab w:val="left" w:pos="1440"/>
        </w:tabs>
        <w:suppressAutoHyphens/>
        <w:spacing w:before="120" w:after="120"/>
        <w:rPr>
          <w:b/>
          <w:szCs w:val="22"/>
          <w:u w:val="single"/>
        </w:rPr>
      </w:pPr>
      <w:r>
        <w:rPr>
          <w:b/>
          <w:szCs w:val="22"/>
          <w:u w:val="single"/>
        </w:rPr>
        <w:t>Recordkeeping Requirements</w:t>
      </w:r>
    </w:p>
    <w:p w14:paraId="008A7BCE" w14:textId="77777777" w:rsidR="00441FC9" w:rsidRDefault="00441FC9" w:rsidP="00114020">
      <w:pPr>
        <w:pStyle w:val="ListParagraph"/>
        <w:numPr>
          <w:ilvl w:val="0"/>
          <w:numId w:val="116"/>
        </w:numPr>
        <w:tabs>
          <w:tab w:val="clear" w:pos="900"/>
          <w:tab w:val="left" w:pos="360"/>
          <w:tab w:val="left" w:pos="720"/>
          <w:tab w:val="left" w:pos="1080"/>
          <w:tab w:val="left" w:pos="1440"/>
        </w:tabs>
        <w:ind w:left="360" w:hanging="360"/>
        <w:rPr>
          <w:szCs w:val="22"/>
        </w:rPr>
      </w:pPr>
      <w:r>
        <w:rPr>
          <w:color w:val="000000"/>
          <w:u w:val="single"/>
        </w:rPr>
        <w:t>Notification, Performance and Compliance Records</w:t>
      </w:r>
      <w:r>
        <w:t xml:space="preserve">.  </w:t>
      </w:r>
      <w:r>
        <w:rPr>
          <w:color w:val="000000"/>
        </w:rPr>
        <w:t>The owner or operator must keep:</w:t>
      </w:r>
    </w:p>
    <w:p w14:paraId="5BBC4A9A" w14:textId="77777777" w:rsidR="00441FC9" w:rsidRDefault="00441FC9" w:rsidP="00114020">
      <w:pPr>
        <w:pStyle w:val="ListParagraph"/>
        <w:numPr>
          <w:ilvl w:val="1"/>
          <w:numId w:val="120"/>
        </w:numPr>
        <w:tabs>
          <w:tab w:val="left" w:pos="360"/>
          <w:tab w:val="left" w:pos="720"/>
          <w:tab w:val="num" w:pos="810"/>
          <w:tab w:val="left" w:pos="1080"/>
          <w:tab w:val="left" w:pos="1440"/>
        </w:tabs>
        <w:suppressAutoHyphens/>
        <w:ind w:left="630"/>
      </w:pPr>
      <w:r>
        <w:rPr>
          <w:color w:val="000000"/>
        </w:rPr>
        <w:t>A copy of each notification and report that the owner or operator submitted to comply with this section, including all documentation supporting any Initial Notification or Notification of Compliance Status that the owner or operator submitted.</w:t>
      </w:r>
    </w:p>
    <w:p w14:paraId="6186DBB3" w14:textId="77777777" w:rsidR="00441FC9" w:rsidRDefault="00441FC9" w:rsidP="00114020">
      <w:pPr>
        <w:numPr>
          <w:ilvl w:val="1"/>
          <w:numId w:val="120"/>
        </w:numPr>
        <w:tabs>
          <w:tab w:val="left" w:pos="360"/>
          <w:tab w:val="left" w:pos="720"/>
          <w:tab w:val="left" w:pos="1080"/>
          <w:tab w:val="left" w:pos="1440"/>
        </w:tabs>
        <w:suppressAutoHyphens/>
        <w:ind w:left="630"/>
        <w:rPr>
          <w:szCs w:val="22"/>
        </w:rPr>
      </w:pPr>
      <w:r>
        <w:rPr>
          <w:color w:val="000000"/>
          <w:szCs w:val="22"/>
        </w:rPr>
        <w:t>Records of the occurrence and duration of each malfunction of operation.</w:t>
      </w:r>
    </w:p>
    <w:p w14:paraId="0DA73A99" w14:textId="77777777" w:rsidR="00441FC9" w:rsidRDefault="00441FC9" w:rsidP="00114020">
      <w:pPr>
        <w:numPr>
          <w:ilvl w:val="1"/>
          <w:numId w:val="120"/>
        </w:numPr>
        <w:tabs>
          <w:tab w:val="left" w:pos="360"/>
          <w:tab w:val="left" w:pos="720"/>
          <w:tab w:val="left" w:pos="1080"/>
          <w:tab w:val="left" w:pos="1440"/>
        </w:tabs>
        <w:suppressAutoHyphens/>
        <w:ind w:left="630"/>
        <w:rPr>
          <w:szCs w:val="22"/>
        </w:rPr>
      </w:pPr>
      <w:r>
        <w:rPr>
          <w:color w:val="000000"/>
          <w:szCs w:val="22"/>
        </w:rPr>
        <w:t>Records of all required maintenance performed on the hour meter.</w:t>
      </w:r>
    </w:p>
    <w:p w14:paraId="637FA784" w14:textId="4B1AACF3" w:rsidR="00441FC9" w:rsidRPr="005047D6" w:rsidRDefault="00441FC9" w:rsidP="00114020">
      <w:pPr>
        <w:numPr>
          <w:ilvl w:val="1"/>
          <w:numId w:val="120"/>
        </w:numPr>
        <w:tabs>
          <w:tab w:val="left" w:pos="360"/>
          <w:tab w:val="left" w:pos="720"/>
          <w:tab w:val="left" w:pos="1080"/>
          <w:tab w:val="left" w:pos="1440"/>
        </w:tabs>
        <w:suppressAutoHyphens/>
        <w:ind w:left="630"/>
        <w:rPr>
          <w:szCs w:val="22"/>
        </w:rPr>
      </w:pPr>
      <w:r>
        <w:rPr>
          <w:color w:val="000000"/>
          <w:szCs w:val="22"/>
        </w:rPr>
        <w:t xml:space="preserve">Records of actions taken during periods of malfunction to minimize emissions in accordance with Specific Condition </w:t>
      </w:r>
      <w:r w:rsidR="00EE319B">
        <w:rPr>
          <w:b/>
          <w:color w:val="000000"/>
          <w:szCs w:val="22"/>
        </w:rPr>
        <w:fldChar w:fldCharType="begin"/>
      </w:r>
      <w:r w:rsidR="00EE319B">
        <w:rPr>
          <w:color w:val="000000"/>
          <w:szCs w:val="22"/>
        </w:rPr>
        <w:instrText xml:space="preserve"> REF _Ref520729527 \r \h </w:instrText>
      </w:r>
      <w:r w:rsidR="00EE319B">
        <w:rPr>
          <w:b/>
          <w:color w:val="000000"/>
          <w:szCs w:val="22"/>
        </w:rPr>
        <w:instrText xml:space="preserve"> \* MERGEFORMAT </w:instrText>
      </w:r>
      <w:r w:rsidR="00EE319B">
        <w:rPr>
          <w:b/>
          <w:color w:val="000000"/>
          <w:szCs w:val="22"/>
        </w:rPr>
      </w:r>
      <w:r w:rsidR="00EE319B">
        <w:rPr>
          <w:b/>
          <w:color w:val="000000"/>
          <w:szCs w:val="22"/>
        </w:rPr>
        <w:fldChar w:fldCharType="separate"/>
      </w:r>
      <w:r w:rsidR="00D31800" w:rsidRPr="00D31800">
        <w:rPr>
          <w:b/>
          <w:color w:val="000000"/>
          <w:szCs w:val="22"/>
        </w:rPr>
        <w:t>H.5.</w:t>
      </w:r>
      <w:r w:rsidR="00D31800">
        <w:rPr>
          <w:color w:val="000000"/>
          <w:szCs w:val="22"/>
        </w:rPr>
        <w:t xml:space="preserve"> </w:t>
      </w:r>
      <w:r w:rsidR="00EE319B">
        <w:rPr>
          <w:b/>
          <w:color w:val="000000"/>
          <w:szCs w:val="22"/>
        </w:rPr>
        <w:fldChar w:fldCharType="end"/>
      </w:r>
      <w:r>
        <w:rPr>
          <w:color w:val="000000"/>
          <w:szCs w:val="22"/>
        </w:rPr>
        <w:t xml:space="preserve">, including corrective actions to restore malfunctioning process and monitoring equipment to its normal or usual manner of operation. </w:t>
      </w:r>
    </w:p>
    <w:p w14:paraId="334A6C0A" w14:textId="5D24736E" w:rsidR="00441FC9" w:rsidRPr="005047D6" w:rsidRDefault="00441FC9" w:rsidP="00114020">
      <w:pPr>
        <w:pStyle w:val="ListParagraph"/>
        <w:numPr>
          <w:ilvl w:val="1"/>
          <w:numId w:val="120"/>
        </w:numPr>
        <w:tabs>
          <w:tab w:val="left" w:pos="360"/>
          <w:tab w:val="left" w:pos="720"/>
          <w:tab w:val="left" w:pos="1080"/>
          <w:tab w:val="left" w:pos="1440"/>
        </w:tabs>
        <w:suppressAutoHyphens/>
        <w:ind w:left="630"/>
        <w:rPr>
          <w:color w:val="000000"/>
          <w:szCs w:val="22"/>
        </w:rPr>
      </w:pPr>
      <w:r w:rsidRPr="005047D6">
        <w:rPr>
          <w:color w:val="000000"/>
        </w:rPr>
        <w:t xml:space="preserve">Records of the actions required in Specific Condition </w:t>
      </w:r>
      <w:r w:rsidR="00EE319B" w:rsidRPr="005047D6">
        <w:rPr>
          <w:b/>
          <w:color w:val="000000"/>
        </w:rPr>
        <w:fldChar w:fldCharType="begin"/>
      </w:r>
      <w:r w:rsidR="00EE319B" w:rsidRPr="005047D6">
        <w:rPr>
          <w:b/>
          <w:color w:val="000000"/>
        </w:rPr>
        <w:instrText xml:space="preserve"> REF _Ref520729560 \r \h  \* MERGEFORMAT </w:instrText>
      </w:r>
      <w:r w:rsidR="00EE319B" w:rsidRPr="005047D6">
        <w:rPr>
          <w:b/>
          <w:color w:val="000000"/>
        </w:rPr>
      </w:r>
      <w:r w:rsidR="00EE319B" w:rsidRPr="005047D6">
        <w:rPr>
          <w:b/>
          <w:color w:val="000000"/>
        </w:rPr>
        <w:fldChar w:fldCharType="separate"/>
      </w:r>
      <w:r w:rsidR="00D31800">
        <w:rPr>
          <w:b/>
          <w:color w:val="000000"/>
        </w:rPr>
        <w:t xml:space="preserve">H.2. </w:t>
      </w:r>
      <w:r w:rsidR="00EE319B" w:rsidRPr="005047D6">
        <w:rPr>
          <w:b/>
          <w:color w:val="000000"/>
        </w:rPr>
        <w:fldChar w:fldCharType="end"/>
      </w:r>
      <w:r w:rsidR="00EE319B" w:rsidRPr="005047D6">
        <w:rPr>
          <w:color w:val="000000"/>
        </w:rPr>
        <w:t xml:space="preserve"> paragraph </w:t>
      </w:r>
      <w:r w:rsidR="00EE319B" w:rsidRPr="005047D6">
        <w:rPr>
          <w:b/>
          <w:color w:val="000000"/>
        </w:rPr>
        <w:fldChar w:fldCharType="begin"/>
      </w:r>
      <w:r w:rsidR="00EE319B" w:rsidRPr="005047D6">
        <w:rPr>
          <w:b/>
          <w:color w:val="000000"/>
        </w:rPr>
        <w:instrText xml:space="preserve"> REF _Ref520729595 \r \h  \* MERGEFORMAT </w:instrText>
      </w:r>
      <w:r w:rsidR="00EE319B" w:rsidRPr="005047D6">
        <w:rPr>
          <w:b/>
          <w:color w:val="000000"/>
        </w:rPr>
      </w:r>
      <w:r w:rsidR="00EE319B" w:rsidRPr="005047D6">
        <w:rPr>
          <w:b/>
          <w:color w:val="000000"/>
        </w:rPr>
        <w:fldChar w:fldCharType="separate"/>
      </w:r>
      <w:r w:rsidR="00D31800">
        <w:rPr>
          <w:b/>
          <w:color w:val="000000"/>
        </w:rPr>
        <w:t>d</w:t>
      </w:r>
      <w:r w:rsidR="00EE319B" w:rsidRPr="005047D6">
        <w:rPr>
          <w:b/>
          <w:color w:val="000000"/>
        </w:rPr>
        <w:fldChar w:fldCharType="end"/>
      </w:r>
      <w:r w:rsidR="00EE319B" w:rsidRPr="005047D6">
        <w:rPr>
          <w:color w:val="000000"/>
        </w:rPr>
        <w:t xml:space="preserve"> </w:t>
      </w:r>
      <w:r w:rsidRPr="005047D6">
        <w:rPr>
          <w:color w:val="000000"/>
        </w:rPr>
        <w:t xml:space="preserve">to show continuous compliance with each emission limitation or operating requirement.  </w:t>
      </w:r>
    </w:p>
    <w:p w14:paraId="491F837D" w14:textId="27753075" w:rsidR="00441FC9" w:rsidRDefault="00441FC9" w:rsidP="00114020">
      <w:pPr>
        <w:pStyle w:val="ListParagraph"/>
        <w:numPr>
          <w:ilvl w:val="1"/>
          <w:numId w:val="120"/>
        </w:numPr>
        <w:tabs>
          <w:tab w:val="left" w:pos="360"/>
          <w:tab w:val="left" w:pos="720"/>
          <w:tab w:val="left" w:pos="1080"/>
          <w:tab w:val="left" w:pos="1440"/>
        </w:tabs>
        <w:suppressAutoHyphens/>
        <w:ind w:left="630"/>
        <w:rPr>
          <w:color w:val="000000"/>
        </w:rPr>
      </w:pPr>
      <w:r w:rsidRPr="005047D6">
        <w:rPr>
          <w:color w:val="000000"/>
        </w:rPr>
        <w:t>Records of the Work or Management Practice Standards specified</w:t>
      </w:r>
      <w:r>
        <w:rPr>
          <w:color w:val="000000"/>
        </w:rPr>
        <w:t xml:space="preserve"> in Specific Condition </w:t>
      </w:r>
      <w:r w:rsidR="00EE319B" w:rsidRPr="00EE319B">
        <w:rPr>
          <w:b/>
          <w:color w:val="000000"/>
        </w:rPr>
        <w:fldChar w:fldCharType="begin"/>
      </w:r>
      <w:r w:rsidR="00EE319B" w:rsidRPr="00EE319B">
        <w:rPr>
          <w:b/>
          <w:color w:val="000000"/>
        </w:rPr>
        <w:instrText xml:space="preserve"> REF _Ref520729560 \r \h  \* MERGEFORMAT </w:instrText>
      </w:r>
      <w:r w:rsidR="00EE319B" w:rsidRPr="00EE319B">
        <w:rPr>
          <w:b/>
          <w:color w:val="000000"/>
        </w:rPr>
      </w:r>
      <w:r w:rsidR="00EE319B" w:rsidRPr="00EE319B">
        <w:rPr>
          <w:b/>
          <w:color w:val="000000"/>
        </w:rPr>
        <w:fldChar w:fldCharType="separate"/>
      </w:r>
      <w:r w:rsidR="00D31800">
        <w:rPr>
          <w:b/>
          <w:color w:val="000000"/>
        </w:rPr>
        <w:t xml:space="preserve">H.2. </w:t>
      </w:r>
      <w:r w:rsidR="00EE319B" w:rsidRPr="00EE319B">
        <w:rPr>
          <w:b/>
          <w:color w:val="000000"/>
        </w:rPr>
        <w:fldChar w:fldCharType="end"/>
      </w:r>
      <w:r w:rsidR="00EE319B">
        <w:rPr>
          <w:color w:val="000000"/>
        </w:rPr>
        <w:t>.</w:t>
      </w:r>
    </w:p>
    <w:p w14:paraId="590433AA" w14:textId="77777777" w:rsidR="00441FC9" w:rsidRDefault="00441FC9" w:rsidP="00114020">
      <w:pPr>
        <w:pStyle w:val="ListParagraph"/>
        <w:numPr>
          <w:ilvl w:val="1"/>
          <w:numId w:val="120"/>
        </w:numPr>
        <w:tabs>
          <w:tab w:val="left" w:pos="360"/>
          <w:tab w:val="left" w:pos="720"/>
          <w:tab w:val="left" w:pos="1080"/>
          <w:tab w:val="left" w:pos="1440"/>
        </w:tabs>
        <w:suppressAutoHyphens/>
        <w:ind w:left="630"/>
        <w:rPr>
          <w:color w:val="000000"/>
        </w:rPr>
      </w:pPr>
      <w:r>
        <w:rPr>
          <w:color w:val="000000"/>
        </w:rPr>
        <w:t>Records of the maintenance conducted in order to demonstrate that the RICE was operated and maintained according to your own maintenance plan.</w:t>
      </w:r>
    </w:p>
    <w:p w14:paraId="113EF81F" w14:textId="77777777" w:rsidR="00441FC9" w:rsidRDefault="00441FC9" w:rsidP="00114020">
      <w:pPr>
        <w:pStyle w:val="ListParagraph"/>
        <w:numPr>
          <w:ilvl w:val="1"/>
          <w:numId w:val="120"/>
        </w:numPr>
        <w:tabs>
          <w:tab w:val="left" w:pos="360"/>
          <w:tab w:val="left" w:pos="720"/>
          <w:tab w:val="left" w:pos="1080"/>
          <w:tab w:val="left" w:pos="1440"/>
        </w:tabs>
        <w:ind w:left="630"/>
        <w:rPr>
          <w:color w:val="000000"/>
        </w:rPr>
      </w:pPr>
      <w:r>
        <w:rPr>
          <w:color w:val="000000"/>
        </w:rPr>
        <w:t xml:space="preserve">Records of the hours of operation of the engine that is recorded through the non-resettable hour meter.  The owner or operator must document how many hours are spent for emergency operation including what classified the operation as emergency and how many hours are spent for non-emergency operation.  If the engines are used for emergency demand response operation or for periods of voltage or frequency deviations, the owner or operator must keep records of the notification of the emergency situation, and the time of engine operation for these purposes.  </w:t>
      </w:r>
    </w:p>
    <w:p w14:paraId="37C17E4D" w14:textId="77777777" w:rsidR="00441FC9" w:rsidRDefault="00441FC9" w:rsidP="00441FC9">
      <w:pPr>
        <w:tabs>
          <w:tab w:val="left" w:pos="360"/>
          <w:tab w:val="left" w:pos="720"/>
          <w:tab w:val="left" w:pos="1080"/>
          <w:tab w:val="left" w:pos="1440"/>
        </w:tabs>
        <w:spacing w:after="120"/>
        <w:ind w:left="274"/>
        <w:rPr>
          <w:color w:val="000000"/>
          <w:szCs w:val="22"/>
        </w:rPr>
      </w:pPr>
      <w:r>
        <w:rPr>
          <w:color w:val="000000"/>
          <w:szCs w:val="22"/>
        </w:rPr>
        <w:t>[40 CFR 63.6655]</w:t>
      </w:r>
    </w:p>
    <w:p w14:paraId="15171CED" w14:textId="77777777" w:rsidR="00441FC9" w:rsidRDefault="00441FC9" w:rsidP="00114020">
      <w:pPr>
        <w:pStyle w:val="ListParagraph"/>
        <w:numPr>
          <w:ilvl w:val="0"/>
          <w:numId w:val="116"/>
        </w:numPr>
        <w:tabs>
          <w:tab w:val="clear" w:pos="900"/>
          <w:tab w:val="left" w:pos="360"/>
          <w:tab w:val="left" w:pos="720"/>
          <w:tab w:val="left" w:pos="1080"/>
          <w:tab w:val="left" w:pos="1440"/>
        </w:tabs>
        <w:ind w:left="360" w:hanging="360"/>
        <w:rPr>
          <w:i/>
          <w:szCs w:val="22"/>
        </w:rPr>
      </w:pPr>
      <w:r>
        <w:rPr>
          <w:u w:val="single"/>
        </w:rPr>
        <w:t>Record Retention</w:t>
      </w:r>
      <w:r>
        <w:rPr>
          <w:i/>
        </w:rPr>
        <w:t>.</w:t>
      </w:r>
    </w:p>
    <w:p w14:paraId="32BD787B" w14:textId="77777777" w:rsidR="00441FC9" w:rsidRDefault="00441FC9" w:rsidP="00114020">
      <w:pPr>
        <w:pStyle w:val="ListParagraph"/>
        <w:numPr>
          <w:ilvl w:val="1"/>
          <w:numId w:val="121"/>
        </w:numPr>
        <w:tabs>
          <w:tab w:val="left" w:pos="360"/>
          <w:tab w:val="left" w:pos="720"/>
          <w:tab w:val="left" w:pos="1080"/>
          <w:tab w:val="left" w:pos="1440"/>
        </w:tabs>
        <w:suppressAutoHyphens/>
        <w:ind w:left="630"/>
        <w:rPr>
          <w:i/>
        </w:rPr>
      </w:pPr>
      <w:r>
        <w:t>The owner or operator must keep records in a suitable and readily available form for expeditious reviews.</w:t>
      </w:r>
    </w:p>
    <w:p w14:paraId="29C3CBFE" w14:textId="77777777" w:rsidR="00441FC9" w:rsidRDefault="00441FC9" w:rsidP="00114020">
      <w:pPr>
        <w:numPr>
          <w:ilvl w:val="1"/>
          <w:numId w:val="121"/>
        </w:numPr>
        <w:tabs>
          <w:tab w:val="left" w:pos="360"/>
          <w:tab w:val="left" w:pos="720"/>
          <w:tab w:val="left" w:pos="1080"/>
          <w:tab w:val="left" w:pos="1440"/>
        </w:tabs>
        <w:suppressAutoHyphens/>
        <w:ind w:left="630"/>
        <w:rPr>
          <w:szCs w:val="22"/>
        </w:rPr>
      </w:pPr>
      <w:r>
        <w:rPr>
          <w:szCs w:val="22"/>
        </w:rPr>
        <w:t>The owner or operator must keep each record readily accessible in hard copy or electronic form for at least 5 years after the date of each occurrence, measurement, maintenance, corrective action, report, or record.</w:t>
      </w:r>
    </w:p>
    <w:p w14:paraId="5775A9C9" w14:textId="77777777" w:rsidR="00441FC9" w:rsidRDefault="00441FC9" w:rsidP="00441FC9">
      <w:pPr>
        <w:tabs>
          <w:tab w:val="left" w:pos="0"/>
          <w:tab w:val="left" w:pos="360"/>
          <w:tab w:val="left" w:pos="720"/>
          <w:tab w:val="left" w:pos="1080"/>
          <w:tab w:val="left" w:pos="1440"/>
        </w:tabs>
        <w:suppressAutoHyphens/>
        <w:ind w:left="360" w:hanging="90"/>
        <w:rPr>
          <w:szCs w:val="22"/>
        </w:rPr>
      </w:pPr>
      <w:r>
        <w:rPr>
          <w:szCs w:val="22"/>
        </w:rPr>
        <w:t>[40 CFR 63.6660 and 40 CFR 63.10(b)(1)]</w:t>
      </w:r>
    </w:p>
    <w:p w14:paraId="57FF6E0B" w14:textId="77777777" w:rsidR="00441FC9" w:rsidRDefault="00441FC9" w:rsidP="00441FC9">
      <w:pPr>
        <w:tabs>
          <w:tab w:val="left" w:pos="0"/>
          <w:tab w:val="left" w:pos="360"/>
          <w:tab w:val="left" w:pos="720"/>
          <w:tab w:val="left" w:pos="1080"/>
          <w:tab w:val="left" w:pos="1440"/>
        </w:tabs>
        <w:suppressAutoHyphens/>
        <w:spacing w:before="120" w:after="120"/>
        <w:rPr>
          <w:b/>
          <w:szCs w:val="22"/>
          <w:u w:val="single"/>
        </w:rPr>
      </w:pPr>
      <w:r>
        <w:rPr>
          <w:b/>
          <w:szCs w:val="22"/>
          <w:u w:val="single"/>
        </w:rPr>
        <w:t>Reporting Requirements</w:t>
      </w:r>
    </w:p>
    <w:p w14:paraId="6429D253" w14:textId="7CFAC75A" w:rsidR="00EE319B" w:rsidRPr="005047D6" w:rsidRDefault="00EE319B" w:rsidP="00114020">
      <w:pPr>
        <w:pStyle w:val="ListParagraph"/>
        <w:numPr>
          <w:ilvl w:val="0"/>
          <w:numId w:val="116"/>
        </w:numPr>
        <w:tabs>
          <w:tab w:val="clear" w:pos="900"/>
          <w:tab w:val="left" w:pos="360"/>
          <w:tab w:val="left" w:pos="720"/>
          <w:tab w:val="left" w:pos="1080"/>
          <w:tab w:val="left" w:pos="1440"/>
        </w:tabs>
        <w:spacing w:after="120"/>
        <w:ind w:left="360" w:hanging="360"/>
        <w:rPr>
          <w:color w:val="000000"/>
          <w:szCs w:val="22"/>
          <w:u w:val="double"/>
        </w:rPr>
      </w:pPr>
      <w:r w:rsidRPr="005047D6">
        <w:rPr>
          <w:color w:val="000000"/>
          <w:szCs w:val="22"/>
          <w:u w:val="single"/>
        </w:rPr>
        <w:t>Non-compliance</w:t>
      </w:r>
      <w:r w:rsidRPr="005047D6">
        <w:rPr>
          <w:color w:val="000000"/>
          <w:szCs w:val="22"/>
        </w:rPr>
        <w:t>.  You must report each instance in which you did not meet the requirements of this permit.  These instances are deviations from the emission and operating limitations in this subpart.  These deviations must be reported according to the requirements in Specific Conditions RR4. and RR7. of Appendix RR – Facility-wide Reporting requirements.  [40 CFR 63.6640(b) &amp; 63.6650(f)]</w:t>
      </w:r>
    </w:p>
    <w:p w14:paraId="7D2D76A8" w14:textId="42E3BC87" w:rsidR="00441FC9" w:rsidRPr="00EE319B" w:rsidRDefault="00441FC9" w:rsidP="00114020">
      <w:pPr>
        <w:pStyle w:val="ListParagraph"/>
        <w:numPr>
          <w:ilvl w:val="0"/>
          <w:numId w:val="116"/>
        </w:numPr>
        <w:tabs>
          <w:tab w:val="clear" w:pos="900"/>
          <w:tab w:val="left" w:pos="360"/>
          <w:tab w:val="left" w:pos="720"/>
          <w:tab w:val="left" w:pos="1080"/>
          <w:tab w:val="left" w:pos="1440"/>
        </w:tabs>
        <w:spacing w:after="120"/>
        <w:ind w:left="360" w:hanging="360"/>
        <w:contextualSpacing w:val="0"/>
        <w:rPr>
          <w:color w:val="000000"/>
          <w:szCs w:val="22"/>
        </w:rPr>
      </w:pPr>
      <w:r>
        <w:rPr>
          <w:color w:val="000000"/>
          <w:u w:val="single"/>
        </w:rPr>
        <w:t>Delay of Performing Work Practice Requirements</w:t>
      </w:r>
      <w:r>
        <w:rPr>
          <w:color w:val="000000"/>
        </w:rPr>
        <w:t xml:space="preserve">.  If an emergency engine is operating during an emergency and it is not possible to shut down the engine </w:t>
      </w:r>
      <w:proofErr w:type="gramStart"/>
      <w:r>
        <w:rPr>
          <w:color w:val="000000"/>
        </w:rPr>
        <w:t>in order to</w:t>
      </w:r>
      <w:proofErr w:type="gramEnd"/>
      <w:r>
        <w:rPr>
          <w:color w:val="000000"/>
        </w:rPr>
        <w:t xml:space="preserve"> perform the work practice requirements on the schedule required in Specific Condition </w:t>
      </w:r>
      <w:r w:rsidR="00EE319B" w:rsidRPr="00EE319B">
        <w:rPr>
          <w:b/>
          <w:color w:val="000000"/>
        </w:rPr>
        <w:fldChar w:fldCharType="begin"/>
      </w:r>
      <w:r w:rsidR="00EE319B" w:rsidRPr="00EE319B">
        <w:rPr>
          <w:b/>
          <w:color w:val="000000"/>
        </w:rPr>
        <w:instrText xml:space="preserve"> REF _Ref520729560 \r \h  \* MERGEFORMAT </w:instrText>
      </w:r>
      <w:r w:rsidR="00EE319B" w:rsidRPr="00EE319B">
        <w:rPr>
          <w:b/>
          <w:color w:val="000000"/>
        </w:rPr>
      </w:r>
      <w:r w:rsidR="00EE319B" w:rsidRPr="00EE319B">
        <w:rPr>
          <w:b/>
          <w:color w:val="000000"/>
        </w:rPr>
        <w:fldChar w:fldCharType="separate"/>
      </w:r>
      <w:r w:rsidR="00D31800">
        <w:rPr>
          <w:b/>
          <w:color w:val="000000"/>
        </w:rPr>
        <w:t xml:space="preserve">H.2. </w:t>
      </w:r>
      <w:r w:rsidR="00EE319B" w:rsidRPr="00EE319B">
        <w:rPr>
          <w:b/>
          <w:color w:val="000000"/>
        </w:rPr>
        <w:fldChar w:fldCharType="end"/>
      </w:r>
      <w:r>
        <w:rPr>
          <w:color w:val="000000"/>
        </w:rPr>
        <w:t>, or if performing the work practice on the required schedule would otherwise pose an unacceptable risk under federal, state, or local law, the work practice can be delayed until the emergency is over or the unacceptable risk under federal, state, or local law has abated.  The work practice should be performed as soon as practicable after the emergency has ended or the unacceptable risk under federal, state, or local law has abated.  Sources must report any failure to perform the work practice on the schedule required and the federal, state or local law under which the risk was deemed unacceptable.  [40 CFR 63, Subpart ZZZZ, Table 2c, footnote 1]</w:t>
      </w:r>
    </w:p>
    <w:p w14:paraId="0475B751" w14:textId="227BC601" w:rsidR="00EE319B" w:rsidRPr="005047D6" w:rsidRDefault="00EE319B" w:rsidP="00114020">
      <w:pPr>
        <w:pStyle w:val="ListParagraph"/>
        <w:numPr>
          <w:ilvl w:val="0"/>
          <w:numId w:val="116"/>
        </w:numPr>
        <w:tabs>
          <w:tab w:val="clear" w:pos="900"/>
          <w:tab w:val="left" w:pos="360"/>
          <w:tab w:val="left" w:pos="720"/>
          <w:tab w:val="left" w:pos="1080"/>
          <w:tab w:val="left" w:pos="1440"/>
        </w:tabs>
        <w:spacing w:after="120"/>
        <w:ind w:left="360" w:hanging="360"/>
        <w:rPr>
          <w:color w:val="000000"/>
          <w:szCs w:val="22"/>
          <w:u w:val="double"/>
        </w:rPr>
      </w:pPr>
      <w:r w:rsidRPr="005047D6">
        <w:rPr>
          <w:color w:val="000000"/>
          <w:szCs w:val="22"/>
          <w:u w:val="single"/>
        </w:rPr>
        <w:t>Other Reporting Requirements</w:t>
      </w:r>
      <w:r w:rsidRPr="005047D6">
        <w:rPr>
          <w:color w:val="000000"/>
          <w:szCs w:val="22"/>
        </w:rPr>
        <w:t xml:space="preserve">. See </w:t>
      </w:r>
      <w:r w:rsidRPr="005047D6">
        <w:rPr>
          <w:bCs/>
          <w:color w:val="000000"/>
          <w:szCs w:val="22"/>
        </w:rPr>
        <w:t>Appendix RR, Facility-Wide Reporting Requirements</w:t>
      </w:r>
      <w:r w:rsidRPr="005047D6">
        <w:rPr>
          <w:color w:val="000000"/>
          <w:szCs w:val="22"/>
        </w:rPr>
        <w:t>, for additional reporting requirements.  [Rule 62-213.440(1)(b), E.A.C.]</w:t>
      </w:r>
    </w:p>
    <w:p w14:paraId="542E02FE" w14:textId="77777777" w:rsidR="00441FC9" w:rsidRDefault="00441FC9" w:rsidP="00441FC9">
      <w:pPr>
        <w:tabs>
          <w:tab w:val="left" w:pos="360"/>
          <w:tab w:val="left" w:pos="720"/>
          <w:tab w:val="left" w:pos="1080"/>
          <w:tab w:val="left" w:pos="1440"/>
        </w:tabs>
        <w:autoSpaceDE w:val="0"/>
        <w:autoSpaceDN w:val="0"/>
        <w:adjustRightInd w:val="0"/>
        <w:spacing w:after="120"/>
        <w:rPr>
          <w:b/>
          <w:color w:val="000000"/>
          <w:szCs w:val="22"/>
          <w:u w:val="single"/>
        </w:rPr>
      </w:pPr>
      <w:r>
        <w:rPr>
          <w:b/>
          <w:color w:val="000000"/>
          <w:szCs w:val="22"/>
          <w:u w:val="single"/>
        </w:rPr>
        <w:t>General Provisions</w:t>
      </w:r>
    </w:p>
    <w:p w14:paraId="04359CC6" w14:textId="25A1D6F6" w:rsidR="00441FC9" w:rsidRPr="005047D6" w:rsidRDefault="00441FC9" w:rsidP="00114020">
      <w:pPr>
        <w:pStyle w:val="ListParagraph"/>
        <w:numPr>
          <w:ilvl w:val="0"/>
          <w:numId w:val="116"/>
        </w:numPr>
        <w:tabs>
          <w:tab w:val="clear" w:pos="900"/>
          <w:tab w:val="left" w:pos="360"/>
          <w:tab w:val="left" w:pos="720"/>
          <w:tab w:val="left" w:pos="1080"/>
          <w:tab w:val="left" w:pos="1440"/>
        </w:tabs>
        <w:spacing w:after="120"/>
        <w:ind w:left="360" w:hanging="360"/>
        <w:rPr>
          <w:color w:val="000000"/>
          <w:szCs w:val="22"/>
        </w:rPr>
      </w:pPr>
      <w:bookmarkStart w:id="261" w:name="_Hlk520809960"/>
      <w:r>
        <w:rPr>
          <w:u w:val="single"/>
        </w:rPr>
        <w:t xml:space="preserve">40 CFR 63 Subpart A </w:t>
      </w:r>
      <w:r w:rsidR="00DC5409">
        <w:rPr>
          <w:u w:val="single"/>
        </w:rPr>
        <w:t>–</w:t>
      </w:r>
      <w:r>
        <w:rPr>
          <w:u w:val="single"/>
        </w:rPr>
        <w:t xml:space="preserve"> General</w:t>
      </w:r>
      <w:r w:rsidR="00DC5409">
        <w:rPr>
          <w:u w:val="single"/>
        </w:rPr>
        <w:t xml:space="preserve"> </w:t>
      </w:r>
      <w:r>
        <w:rPr>
          <w:u w:val="single"/>
        </w:rPr>
        <w:t>Provisions</w:t>
      </w:r>
      <w:r>
        <w:t xml:space="preserve">.  The owner or operator shall comply with the following applicable requirements of 40 CFR 63 Subpart A </w:t>
      </w:r>
      <w:r w:rsidR="00EE319B">
        <w:t>–</w:t>
      </w:r>
      <w:r>
        <w:t xml:space="preserve"> General</w:t>
      </w:r>
      <w:r w:rsidR="00EE319B">
        <w:t xml:space="preserve"> </w:t>
      </w:r>
      <w:r>
        <w:t xml:space="preserve">Provisions, which have been adopted by reference in Rule 62-204.800(11)(d)1., F.A.C., except that the Secretary is not the Administrator for purposes of 40 CFR 63.5(e), 40 CFR 63.5(f), 40 CFR 63.6(g), 40 CFR 63.6(h)(9), 40 CFR 63.6(j), 40 CFR 63.13, and 40 CFR 63.14.  </w:t>
      </w:r>
      <w:hyperlink r:id="rId74" w:history="1">
        <w:r>
          <w:rPr>
            <w:rStyle w:val="Hyperlink"/>
          </w:rPr>
          <w:t>Link to Subpart A</w:t>
        </w:r>
      </w:hyperlink>
      <w:r>
        <w:t xml:space="preserve"> </w:t>
      </w:r>
      <w:r w:rsidR="00DC5409" w:rsidRPr="005047D6">
        <w:t xml:space="preserve">and </w:t>
      </w:r>
      <w:hyperlink r:id="rId75" w:tooltip=" " w:history="1">
        <w:r w:rsidR="00DC5409" w:rsidRPr="005047D6">
          <w:rPr>
            <w:rStyle w:val="Hyperlink"/>
          </w:rPr>
          <w:t>Link to Subpart ZZZZ</w:t>
        </w:r>
      </w:hyperlink>
      <w:r w:rsidR="00DC5409" w:rsidRPr="005047D6">
        <w:t>.</w:t>
      </w:r>
    </w:p>
    <w:tbl>
      <w:tblPr>
        <w:tblW w:w="4810" w:type="pct"/>
        <w:tblInd w:w="372" w:type="dxa"/>
        <w:tblBorders>
          <w:top w:val="single" w:sz="12" w:space="0" w:color="000000"/>
          <w:left w:val="single" w:sz="12" w:space="0" w:color="000000"/>
          <w:bottom w:val="single" w:sz="12" w:space="0" w:color="000000"/>
          <w:right w:val="single" w:sz="12" w:space="0" w:color="000000"/>
          <w:insideH w:val="single" w:sz="8" w:space="0" w:color="000000"/>
          <w:insideV w:val="single" w:sz="12" w:space="0" w:color="000000"/>
        </w:tblBorders>
        <w:tblCellMar>
          <w:top w:w="14" w:type="dxa"/>
          <w:left w:w="12" w:type="dxa"/>
          <w:bottom w:w="14" w:type="dxa"/>
          <w:right w:w="12" w:type="dxa"/>
        </w:tblCellMar>
        <w:tblLook w:val="04A0" w:firstRow="1" w:lastRow="0" w:firstColumn="1" w:lastColumn="0" w:noHBand="0" w:noVBand="1"/>
      </w:tblPr>
      <w:tblGrid>
        <w:gridCol w:w="3312"/>
        <w:gridCol w:w="6356"/>
      </w:tblGrid>
      <w:tr w:rsidR="00441FC9" w14:paraId="3020644C" w14:textId="77777777" w:rsidTr="00441FC9">
        <w:trPr>
          <w:trHeight w:val="469"/>
          <w:tblHeader/>
        </w:trPr>
        <w:tc>
          <w:tcPr>
            <w:tcW w:w="1713" w:type="pct"/>
            <w:tcBorders>
              <w:top w:val="single" w:sz="12" w:space="0" w:color="000000"/>
              <w:left w:val="single" w:sz="12" w:space="0" w:color="000000"/>
              <w:bottom w:val="single" w:sz="12" w:space="0" w:color="000000"/>
              <w:right w:val="single" w:sz="12" w:space="0" w:color="000000"/>
            </w:tcBorders>
            <w:shd w:val="clear" w:color="auto" w:fill="auto"/>
            <w:vAlign w:val="center"/>
            <w:hideMark/>
          </w:tcPr>
          <w:bookmarkEnd w:id="261"/>
          <w:p w14:paraId="17CC0AE2" w14:textId="77777777" w:rsidR="00441FC9" w:rsidRDefault="00441FC9">
            <w:pPr>
              <w:jc w:val="center"/>
              <w:rPr>
                <w:b/>
                <w:bCs/>
                <w:szCs w:val="22"/>
              </w:rPr>
            </w:pPr>
            <w:r>
              <w:rPr>
                <w:b/>
                <w:bCs/>
                <w:szCs w:val="22"/>
              </w:rPr>
              <w:t>General Provisions Citation</w:t>
            </w:r>
          </w:p>
        </w:tc>
        <w:tc>
          <w:tcPr>
            <w:tcW w:w="3287" w:type="pct"/>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09CA475D" w14:textId="77777777" w:rsidR="00441FC9" w:rsidRDefault="00441FC9">
            <w:pPr>
              <w:jc w:val="center"/>
              <w:rPr>
                <w:b/>
                <w:bCs/>
                <w:szCs w:val="22"/>
              </w:rPr>
            </w:pPr>
            <w:r>
              <w:rPr>
                <w:b/>
                <w:bCs/>
                <w:szCs w:val="22"/>
              </w:rPr>
              <w:t>Subject of Citation</w:t>
            </w:r>
          </w:p>
        </w:tc>
      </w:tr>
      <w:tr w:rsidR="00441FC9" w14:paraId="6B870FF0" w14:textId="77777777" w:rsidTr="00441FC9">
        <w:tc>
          <w:tcPr>
            <w:tcW w:w="1713" w:type="pct"/>
            <w:tcBorders>
              <w:top w:val="single" w:sz="12" w:space="0" w:color="000000"/>
              <w:left w:val="single" w:sz="12" w:space="0" w:color="000000"/>
              <w:bottom w:val="single" w:sz="8" w:space="0" w:color="000000"/>
              <w:right w:val="single" w:sz="12" w:space="0" w:color="000000"/>
            </w:tcBorders>
            <w:vAlign w:val="center"/>
            <w:hideMark/>
          </w:tcPr>
          <w:p w14:paraId="65B48336" w14:textId="77777777" w:rsidR="00441FC9" w:rsidRDefault="00441FC9">
            <w:pPr>
              <w:jc w:val="center"/>
              <w:rPr>
                <w:szCs w:val="22"/>
              </w:rPr>
            </w:pPr>
            <w:r>
              <w:rPr>
                <w:szCs w:val="22"/>
              </w:rPr>
              <w:t>§63.1</w:t>
            </w:r>
          </w:p>
        </w:tc>
        <w:tc>
          <w:tcPr>
            <w:tcW w:w="3287" w:type="pct"/>
            <w:tcBorders>
              <w:top w:val="single" w:sz="12" w:space="0" w:color="000000"/>
              <w:left w:val="single" w:sz="12" w:space="0" w:color="000000"/>
              <w:bottom w:val="single" w:sz="8" w:space="0" w:color="000000"/>
              <w:right w:val="single" w:sz="12" w:space="0" w:color="000000"/>
            </w:tcBorders>
            <w:vAlign w:val="center"/>
            <w:hideMark/>
          </w:tcPr>
          <w:p w14:paraId="591A9305" w14:textId="77777777" w:rsidR="00441FC9" w:rsidRDefault="00441FC9">
            <w:pPr>
              <w:ind w:left="79"/>
              <w:rPr>
                <w:szCs w:val="22"/>
              </w:rPr>
            </w:pPr>
            <w:r>
              <w:rPr>
                <w:szCs w:val="22"/>
              </w:rPr>
              <w:t>General applicability of the General Provisions</w:t>
            </w:r>
          </w:p>
        </w:tc>
      </w:tr>
      <w:tr w:rsidR="00441FC9" w14:paraId="73A127FC" w14:textId="77777777" w:rsidTr="00441FC9">
        <w:tc>
          <w:tcPr>
            <w:tcW w:w="1713" w:type="pct"/>
            <w:tcBorders>
              <w:top w:val="single" w:sz="8" w:space="0" w:color="000000"/>
              <w:left w:val="single" w:sz="12" w:space="0" w:color="000000"/>
              <w:bottom w:val="single" w:sz="8" w:space="0" w:color="000000"/>
              <w:right w:val="single" w:sz="12" w:space="0" w:color="000000"/>
            </w:tcBorders>
            <w:hideMark/>
          </w:tcPr>
          <w:p w14:paraId="377B6452" w14:textId="77777777" w:rsidR="00441FC9" w:rsidRDefault="00441FC9">
            <w:pPr>
              <w:jc w:val="center"/>
              <w:rPr>
                <w:szCs w:val="22"/>
              </w:rPr>
            </w:pPr>
            <w:r>
              <w:rPr>
                <w:szCs w:val="22"/>
              </w:rPr>
              <w:t>§63.2</w:t>
            </w:r>
          </w:p>
        </w:tc>
        <w:tc>
          <w:tcPr>
            <w:tcW w:w="3287" w:type="pct"/>
            <w:tcBorders>
              <w:top w:val="single" w:sz="8" w:space="0" w:color="000000"/>
              <w:left w:val="single" w:sz="12" w:space="0" w:color="000000"/>
              <w:bottom w:val="single" w:sz="8" w:space="0" w:color="000000"/>
              <w:right w:val="single" w:sz="12" w:space="0" w:color="000000"/>
            </w:tcBorders>
            <w:hideMark/>
          </w:tcPr>
          <w:p w14:paraId="13C47AA1" w14:textId="77777777" w:rsidR="00441FC9" w:rsidRDefault="00441FC9">
            <w:pPr>
              <w:ind w:left="79"/>
              <w:rPr>
                <w:szCs w:val="22"/>
              </w:rPr>
            </w:pPr>
            <w:r>
              <w:rPr>
                <w:szCs w:val="22"/>
              </w:rPr>
              <w:t>Definitions (additional terms defined in 43 CFR 63.6675)</w:t>
            </w:r>
          </w:p>
        </w:tc>
      </w:tr>
      <w:tr w:rsidR="00441FC9" w14:paraId="35A046C5" w14:textId="77777777" w:rsidTr="00441FC9">
        <w:tc>
          <w:tcPr>
            <w:tcW w:w="1713" w:type="pct"/>
            <w:tcBorders>
              <w:top w:val="single" w:sz="8" w:space="0" w:color="000000"/>
              <w:left w:val="single" w:sz="12" w:space="0" w:color="000000"/>
              <w:bottom w:val="single" w:sz="8" w:space="0" w:color="000000"/>
              <w:right w:val="single" w:sz="12" w:space="0" w:color="000000"/>
            </w:tcBorders>
            <w:hideMark/>
          </w:tcPr>
          <w:p w14:paraId="0887E2EA" w14:textId="77777777" w:rsidR="00441FC9" w:rsidRDefault="00441FC9">
            <w:pPr>
              <w:jc w:val="center"/>
              <w:rPr>
                <w:szCs w:val="22"/>
              </w:rPr>
            </w:pPr>
            <w:r>
              <w:rPr>
                <w:szCs w:val="22"/>
              </w:rPr>
              <w:t>§63.3</w:t>
            </w:r>
          </w:p>
        </w:tc>
        <w:tc>
          <w:tcPr>
            <w:tcW w:w="3287" w:type="pct"/>
            <w:tcBorders>
              <w:top w:val="single" w:sz="8" w:space="0" w:color="000000"/>
              <w:left w:val="single" w:sz="12" w:space="0" w:color="000000"/>
              <w:bottom w:val="single" w:sz="8" w:space="0" w:color="000000"/>
              <w:right w:val="single" w:sz="12" w:space="0" w:color="000000"/>
            </w:tcBorders>
            <w:hideMark/>
          </w:tcPr>
          <w:p w14:paraId="6018E1EE" w14:textId="77777777" w:rsidR="00441FC9" w:rsidRDefault="00441FC9">
            <w:pPr>
              <w:ind w:left="79"/>
              <w:rPr>
                <w:szCs w:val="22"/>
              </w:rPr>
            </w:pPr>
            <w:r>
              <w:rPr>
                <w:szCs w:val="22"/>
              </w:rPr>
              <w:t>Units and abbreviations</w:t>
            </w:r>
          </w:p>
        </w:tc>
      </w:tr>
      <w:tr w:rsidR="00441FC9" w14:paraId="748C88E7" w14:textId="77777777" w:rsidTr="00441FC9">
        <w:tc>
          <w:tcPr>
            <w:tcW w:w="1713" w:type="pct"/>
            <w:tcBorders>
              <w:top w:val="single" w:sz="8" w:space="0" w:color="000000"/>
              <w:left w:val="single" w:sz="12" w:space="0" w:color="000000"/>
              <w:bottom w:val="single" w:sz="8" w:space="0" w:color="000000"/>
              <w:right w:val="single" w:sz="12" w:space="0" w:color="000000"/>
            </w:tcBorders>
            <w:hideMark/>
          </w:tcPr>
          <w:p w14:paraId="60C7CF34" w14:textId="77777777" w:rsidR="00441FC9" w:rsidRDefault="00441FC9">
            <w:pPr>
              <w:jc w:val="center"/>
              <w:rPr>
                <w:szCs w:val="22"/>
              </w:rPr>
            </w:pPr>
            <w:r>
              <w:rPr>
                <w:szCs w:val="22"/>
              </w:rPr>
              <w:t>§63.4</w:t>
            </w:r>
          </w:p>
        </w:tc>
        <w:tc>
          <w:tcPr>
            <w:tcW w:w="3287" w:type="pct"/>
            <w:tcBorders>
              <w:top w:val="single" w:sz="8" w:space="0" w:color="000000"/>
              <w:left w:val="single" w:sz="12" w:space="0" w:color="000000"/>
              <w:bottom w:val="single" w:sz="8" w:space="0" w:color="000000"/>
              <w:right w:val="single" w:sz="12" w:space="0" w:color="000000"/>
            </w:tcBorders>
            <w:hideMark/>
          </w:tcPr>
          <w:p w14:paraId="6C64DD59" w14:textId="77777777" w:rsidR="00441FC9" w:rsidRDefault="00441FC9">
            <w:pPr>
              <w:ind w:left="79"/>
              <w:rPr>
                <w:szCs w:val="22"/>
              </w:rPr>
            </w:pPr>
            <w:r>
              <w:rPr>
                <w:szCs w:val="22"/>
              </w:rPr>
              <w:t>Prohibited activities and circumvention</w:t>
            </w:r>
          </w:p>
        </w:tc>
      </w:tr>
      <w:tr w:rsidR="00441FC9" w14:paraId="6DBD0DCD" w14:textId="77777777" w:rsidTr="00441FC9">
        <w:trPr>
          <w:trHeight w:val="149"/>
        </w:trPr>
        <w:tc>
          <w:tcPr>
            <w:tcW w:w="1713" w:type="pct"/>
            <w:tcBorders>
              <w:top w:val="single" w:sz="8" w:space="0" w:color="000000"/>
              <w:left w:val="single" w:sz="12" w:space="0" w:color="000000"/>
              <w:bottom w:val="single" w:sz="8" w:space="0" w:color="000000"/>
              <w:right w:val="single" w:sz="12" w:space="0" w:color="000000"/>
            </w:tcBorders>
            <w:hideMark/>
          </w:tcPr>
          <w:p w14:paraId="4E6D0392" w14:textId="77777777" w:rsidR="00441FC9" w:rsidRDefault="00441FC9">
            <w:pPr>
              <w:jc w:val="center"/>
              <w:rPr>
                <w:szCs w:val="22"/>
              </w:rPr>
            </w:pPr>
            <w:r>
              <w:rPr>
                <w:szCs w:val="22"/>
              </w:rPr>
              <w:t>§63.5</w:t>
            </w:r>
          </w:p>
        </w:tc>
        <w:tc>
          <w:tcPr>
            <w:tcW w:w="3287" w:type="pct"/>
            <w:tcBorders>
              <w:top w:val="single" w:sz="8" w:space="0" w:color="000000"/>
              <w:left w:val="single" w:sz="12" w:space="0" w:color="000000"/>
              <w:bottom w:val="single" w:sz="8" w:space="0" w:color="000000"/>
              <w:right w:val="single" w:sz="12" w:space="0" w:color="000000"/>
            </w:tcBorders>
            <w:hideMark/>
          </w:tcPr>
          <w:p w14:paraId="472EE968" w14:textId="77777777" w:rsidR="00441FC9" w:rsidRDefault="00441FC9">
            <w:pPr>
              <w:tabs>
                <w:tab w:val="center" w:pos="4320"/>
                <w:tab w:val="right" w:pos="8640"/>
              </w:tabs>
              <w:ind w:left="79"/>
              <w:rPr>
                <w:szCs w:val="22"/>
              </w:rPr>
            </w:pPr>
            <w:r>
              <w:rPr>
                <w:szCs w:val="22"/>
              </w:rPr>
              <w:t>Construction and reconstruction</w:t>
            </w:r>
          </w:p>
        </w:tc>
      </w:tr>
      <w:tr w:rsidR="00441FC9" w14:paraId="79EA381F" w14:textId="77777777" w:rsidTr="00441FC9">
        <w:tc>
          <w:tcPr>
            <w:tcW w:w="1713" w:type="pct"/>
            <w:tcBorders>
              <w:top w:val="single" w:sz="8" w:space="0" w:color="000000"/>
              <w:left w:val="single" w:sz="12" w:space="0" w:color="000000"/>
              <w:bottom w:val="single" w:sz="8" w:space="0" w:color="000000"/>
              <w:right w:val="single" w:sz="12" w:space="0" w:color="000000"/>
            </w:tcBorders>
            <w:hideMark/>
          </w:tcPr>
          <w:p w14:paraId="08C75535" w14:textId="77777777" w:rsidR="00441FC9" w:rsidRDefault="00441FC9">
            <w:pPr>
              <w:jc w:val="center"/>
              <w:rPr>
                <w:szCs w:val="22"/>
              </w:rPr>
            </w:pPr>
            <w:r>
              <w:rPr>
                <w:szCs w:val="22"/>
              </w:rPr>
              <w:t>§63.6(a)</w:t>
            </w:r>
          </w:p>
        </w:tc>
        <w:tc>
          <w:tcPr>
            <w:tcW w:w="3287" w:type="pct"/>
            <w:tcBorders>
              <w:top w:val="single" w:sz="8" w:space="0" w:color="000000"/>
              <w:left w:val="single" w:sz="12" w:space="0" w:color="000000"/>
              <w:bottom w:val="single" w:sz="8" w:space="0" w:color="000000"/>
              <w:right w:val="single" w:sz="12" w:space="0" w:color="000000"/>
            </w:tcBorders>
            <w:hideMark/>
          </w:tcPr>
          <w:p w14:paraId="621C7CBD" w14:textId="77777777" w:rsidR="00441FC9" w:rsidRDefault="00441FC9">
            <w:pPr>
              <w:ind w:left="79"/>
              <w:rPr>
                <w:szCs w:val="22"/>
              </w:rPr>
            </w:pPr>
            <w:r>
              <w:rPr>
                <w:szCs w:val="22"/>
              </w:rPr>
              <w:t>Applicability</w:t>
            </w:r>
          </w:p>
        </w:tc>
      </w:tr>
      <w:tr w:rsidR="00441FC9" w14:paraId="34E9A4F5" w14:textId="77777777" w:rsidTr="00441FC9">
        <w:tc>
          <w:tcPr>
            <w:tcW w:w="1713" w:type="pct"/>
            <w:tcBorders>
              <w:top w:val="single" w:sz="8" w:space="0" w:color="000000"/>
              <w:left w:val="single" w:sz="12" w:space="0" w:color="000000"/>
              <w:bottom w:val="single" w:sz="8" w:space="0" w:color="000000"/>
              <w:right w:val="single" w:sz="12" w:space="0" w:color="000000"/>
            </w:tcBorders>
            <w:hideMark/>
          </w:tcPr>
          <w:p w14:paraId="2977F8D2" w14:textId="77777777" w:rsidR="00441FC9" w:rsidRDefault="00441FC9">
            <w:pPr>
              <w:jc w:val="center"/>
              <w:rPr>
                <w:szCs w:val="22"/>
              </w:rPr>
            </w:pPr>
            <w:r>
              <w:rPr>
                <w:szCs w:val="22"/>
              </w:rPr>
              <w:t>§63.9(a)</w:t>
            </w:r>
          </w:p>
        </w:tc>
        <w:tc>
          <w:tcPr>
            <w:tcW w:w="3287" w:type="pct"/>
            <w:tcBorders>
              <w:top w:val="single" w:sz="8" w:space="0" w:color="000000"/>
              <w:left w:val="single" w:sz="12" w:space="0" w:color="000000"/>
              <w:bottom w:val="single" w:sz="8" w:space="0" w:color="000000"/>
              <w:right w:val="single" w:sz="12" w:space="0" w:color="000000"/>
            </w:tcBorders>
            <w:hideMark/>
          </w:tcPr>
          <w:p w14:paraId="7A9157FE" w14:textId="77777777" w:rsidR="00441FC9" w:rsidRDefault="00441FC9">
            <w:pPr>
              <w:ind w:left="79"/>
              <w:rPr>
                <w:szCs w:val="22"/>
              </w:rPr>
            </w:pPr>
            <w:r>
              <w:rPr>
                <w:szCs w:val="22"/>
              </w:rPr>
              <w:t>Applicability and State delegation of notification requirements</w:t>
            </w:r>
          </w:p>
        </w:tc>
      </w:tr>
      <w:tr w:rsidR="00441FC9" w14:paraId="5B53A358" w14:textId="77777777" w:rsidTr="00441FC9">
        <w:tc>
          <w:tcPr>
            <w:tcW w:w="1713" w:type="pct"/>
            <w:tcBorders>
              <w:top w:val="single" w:sz="8" w:space="0" w:color="000000"/>
              <w:left w:val="single" w:sz="12" w:space="0" w:color="000000"/>
              <w:bottom w:val="single" w:sz="8" w:space="0" w:color="000000"/>
              <w:right w:val="single" w:sz="12" w:space="0" w:color="000000"/>
            </w:tcBorders>
            <w:hideMark/>
          </w:tcPr>
          <w:p w14:paraId="026A243F" w14:textId="77777777" w:rsidR="00441FC9" w:rsidRDefault="00441FC9">
            <w:pPr>
              <w:jc w:val="center"/>
              <w:rPr>
                <w:szCs w:val="22"/>
              </w:rPr>
            </w:pPr>
            <w:r>
              <w:rPr>
                <w:szCs w:val="22"/>
              </w:rPr>
              <w:t>§63.9(b)(1)-(5)</w:t>
            </w:r>
          </w:p>
        </w:tc>
        <w:tc>
          <w:tcPr>
            <w:tcW w:w="3287" w:type="pct"/>
            <w:tcBorders>
              <w:top w:val="single" w:sz="8" w:space="0" w:color="000000"/>
              <w:left w:val="single" w:sz="12" w:space="0" w:color="000000"/>
              <w:bottom w:val="single" w:sz="8" w:space="0" w:color="000000"/>
              <w:right w:val="single" w:sz="12" w:space="0" w:color="000000"/>
            </w:tcBorders>
            <w:hideMark/>
          </w:tcPr>
          <w:p w14:paraId="3CFD452D" w14:textId="77777777" w:rsidR="00441FC9" w:rsidRDefault="00441FC9">
            <w:pPr>
              <w:ind w:left="79"/>
              <w:rPr>
                <w:szCs w:val="22"/>
              </w:rPr>
            </w:pPr>
            <w:r>
              <w:rPr>
                <w:szCs w:val="22"/>
              </w:rPr>
              <w:t>Initial notifications (except that §63.9(b)(3) is reserved)</w:t>
            </w:r>
          </w:p>
        </w:tc>
      </w:tr>
      <w:tr w:rsidR="00441FC9" w14:paraId="6ABD9627" w14:textId="77777777" w:rsidTr="00441FC9">
        <w:tc>
          <w:tcPr>
            <w:tcW w:w="1713" w:type="pct"/>
            <w:tcBorders>
              <w:top w:val="single" w:sz="8" w:space="0" w:color="000000"/>
              <w:left w:val="single" w:sz="12" w:space="0" w:color="000000"/>
              <w:bottom w:val="single" w:sz="8" w:space="0" w:color="000000"/>
              <w:right w:val="single" w:sz="12" w:space="0" w:color="000000"/>
            </w:tcBorders>
            <w:hideMark/>
          </w:tcPr>
          <w:p w14:paraId="32AE4933" w14:textId="77777777" w:rsidR="00441FC9" w:rsidRDefault="00441FC9">
            <w:pPr>
              <w:jc w:val="center"/>
              <w:rPr>
                <w:szCs w:val="22"/>
              </w:rPr>
            </w:pPr>
            <w:r>
              <w:rPr>
                <w:szCs w:val="22"/>
              </w:rPr>
              <w:t>§63.9(</w:t>
            </w:r>
            <w:proofErr w:type="spellStart"/>
            <w:r>
              <w:rPr>
                <w:szCs w:val="22"/>
              </w:rPr>
              <w:t>i</w:t>
            </w:r>
            <w:proofErr w:type="spellEnd"/>
            <w:r>
              <w:rPr>
                <w:szCs w:val="22"/>
              </w:rPr>
              <w:t>)</w:t>
            </w:r>
          </w:p>
        </w:tc>
        <w:tc>
          <w:tcPr>
            <w:tcW w:w="3287" w:type="pct"/>
            <w:tcBorders>
              <w:top w:val="single" w:sz="8" w:space="0" w:color="000000"/>
              <w:left w:val="single" w:sz="12" w:space="0" w:color="000000"/>
              <w:bottom w:val="single" w:sz="8" w:space="0" w:color="000000"/>
              <w:right w:val="single" w:sz="12" w:space="0" w:color="000000"/>
            </w:tcBorders>
            <w:hideMark/>
          </w:tcPr>
          <w:p w14:paraId="633B0862" w14:textId="77777777" w:rsidR="00441FC9" w:rsidRDefault="00441FC9">
            <w:pPr>
              <w:ind w:left="79"/>
              <w:rPr>
                <w:szCs w:val="22"/>
              </w:rPr>
            </w:pPr>
            <w:r>
              <w:rPr>
                <w:szCs w:val="22"/>
              </w:rPr>
              <w:t>Adjustment of submittal deadlines</w:t>
            </w:r>
          </w:p>
        </w:tc>
      </w:tr>
      <w:tr w:rsidR="00441FC9" w14:paraId="08B53E2B" w14:textId="77777777" w:rsidTr="00441FC9">
        <w:tc>
          <w:tcPr>
            <w:tcW w:w="1713" w:type="pct"/>
            <w:tcBorders>
              <w:top w:val="single" w:sz="8" w:space="0" w:color="000000"/>
              <w:left w:val="single" w:sz="12" w:space="0" w:color="000000"/>
              <w:bottom w:val="single" w:sz="8" w:space="0" w:color="000000"/>
              <w:right w:val="single" w:sz="12" w:space="0" w:color="000000"/>
            </w:tcBorders>
            <w:hideMark/>
          </w:tcPr>
          <w:p w14:paraId="06364E5B" w14:textId="77777777" w:rsidR="00441FC9" w:rsidRDefault="00441FC9">
            <w:pPr>
              <w:jc w:val="center"/>
              <w:rPr>
                <w:szCs w:val="22"/>
              </w:rPr>
            </w:pPr>
            <w:r>
              <w:rPr>
                <w:szCs w:val="22"/>
              </w:rPr>
              <w:t>§63.9(j)</w:t>
            </w:r>
          </w:p>
        </w:tc>
        <w:tc>
          <w:tcPr>
            <w:tcW w:w="3287" w:type="pct"/>
            <w:tcBorders>
              <w:top w:val="single" w:sz="8" w:space="0" w:color="000000"/>
              <w:left w:val="single" w:sz="12" w:space="0" w:color="000000"/>
              <w:bottom w:val="single" w:sz="8" w:space="0" w:color="000000"/>
              <w:right w:val="single" w:sz="12" w:space="0" w:color="000000"/>
            </w:tcBorders>
            <w:hideMark/>
          </w:tcPr>
          <w:p w14:paraId="6C68BA05" w14:textId="77777777" w:rsidR="00441FC9" w:rsidRDefault="00441FC9">
            <w:pPr>
              <w:ind w:left="79"/>
              <w:rPr>
                <w:szCs w:val="22"/>
              </w:rPr>
            </w:pPr>
            <w:r>
              <w:rPr>
                <w:szCs w:val="22"/>
              </w:rPr>
              <w:t>Change in previous information</w:t>
            </w:r>
          </w:p>
        </w:tc>
      </w:tr>
      <w:tr w:rsidR="00441FC9" w14:paraId="72788BBE" w14:textId="77777777" w:rsidTr="00441FC9">
        <w:tc>
          <w:tcPr>
            <w:tcW w:w="1713" w:type="pct"/>
            <w:tcBorders>
              <w:top w:val="single" w:sz="8" w:space="0" w:color="000000"/>
              <w:left w:val="single" w:sz="12" w:space="0" w:color="000000"/>
              <w:bottom w:val="single" w:sz="8" w:space="0" w:color="000000"/>
              <w:right w:val="single" w:sz="12" w:space="0" w:color="000000"/>
            </w:tcBorders>
            <w:hideMark/>
          </w:tcPr>
          <w:p w14:paraId="2C1E9DE9" w14:textId="77777777" w:rsidR="00441FC9" w:rsidRDefault="00441FC9">
            <w:pPr>
              <w:jc w:val="center"/>
              <w:rPr>
                <w:szCs w:val="22"/>
              </w:rPr>
            </w:pPr>
            <w:r>
              <w:rPr>
                <w:szCs w:val="22"/>
              </w:rPr>
              <w:t>§63.10(a)</w:t>
            </w:r>
          </w:p>
        </w:tc>
        <w:tc>
          <w:tcPr>
            <w:tcW w:w="3287" w:type="pct"/>
            <w:tcBorders>
              <w:top w:val="single" w:sz="8" w:space="0" w:color="000000"/>
              <w:left w:val="single" w:sz="12" w:space="0" w:color="000000"/>
              <w:bottom w:val="single" w:sz="8" w:space="0" w:color="000000"/>
              <w:right w:val="single" w:sz="12" w:space="0" w:color="000000"/>
            </w:tcBorders>
            <w:hideMark/>
          </w:tcPr>
          <w:p w14:paraId="2D9CC684" w14:textId="77777777" w:rsidR="00441FC9" w:rsidRDefault="00441FC9">
            <w:pPr>
              <w:ind w:left="79"/>
              <w:rPr>
                <w:szCs w:val="22"/>
              </w:rPr>
            </w:pPr>
            <w:r>
              <w:rPr>
                <w:szCs w:val="22"/>
              </w:rPr>
              <w:t>Administrative provisions for recordkeeping/reporting</w:t>
            </w:r>
          </w:p>
        </w:tc>
      </w:tr>
      <w:tr w:rsidR="00441FC9" w14:paraId="1916B79E" w14:textId="77777777" w:rsidTr="00441FC9">
        <w:tc>
          <w:tcPr>
            <w:tcW w:w="1713" w:type="pct"/>
            <w:tcBorders>
              <w:top w:val="single" w:sz="8" w:space="0" w:color="000000"/>
              <w:left w:val="single" w:sz="12" w:space="0" w:color="000000"/>
              <w:bottom w:val="single" w:sz="8" w:space="0" w:color="000000"/>
              <w:right w:val="single" w:sz="12" w:space="0" w:color="000000"/>
            </w:tcBorders>
            <w:hideMark/>
          </w:tcPr>
          <w:p w14:paraId="1595F768" w14:textId="77777777" w:rsidR="00441FC9" w:rsidRDefault="00441FC9">
            <w:pPr>
              <w:jc w:val="center"/>
              <w:rPr>
                <w:szCs w:val="22"/>
              </w:rPr>
            </w:pPr>
            <w:r>
              <w:rPr>
                <w:szCs w:val="22"/>
              </w:rPr>
              <w:t>§63.10(b)(1)</w:t>
            </w:r>
          </w:p>
        </w:tc>
        <w:tc>
          <w:tcPr>
            <w:tcW w:w="3287" w:type="pct"/>
            <w:tcBorders>
              <w:top w:val="single" w:sz="8" w:space="0" w:color="000000"/>
              <w:left w:val="single" w:sz="12" w:space="0" w:color="000000"/>
              <w:bottom w:val="single" w:sz="8" w:space="0" w:color="000000"/>
              <w:right w:val="single" w:sz="12" w:space="0" w:color="000000"/>
            </w:tcBorders>
            <w:hideMark/>
          </w:tcPr>
          <w:p w14:paraId="3540FC2A" w14:textId="77777777" w:rsidR="00441FC9" w:rsidRDefault="00441FC9">
            <w:pPr>
              <w:tabs>
                <w:tab w:val="center" w:pos="4320"/>
                <w:tab w:val="right" w:pos="8640"/>
              </w:tabs>
              <w:ind w:left="79"/>
              <w:rPr>
                <w:szCs w:val="22"/>
              </w:rPr>
            </w:pPr>
            <w:r>
              <w:rPr>
                <w:szCs w:val="22"/>
              </w:rPr>
              <w:t>Record retention</w:t>
            </w:r>
          </w:p>
        </w:tc>
      </w:tr>
      <w:tr w:rsidR="00441FC9" w14:paraId="50847ABA" w14:textId="77777777" w:rsidTr="00441FC9">
        <w:tc>
          <w:tcPr>
            <w:tcW w:w="1713" w:type="pct"/>
            <w:tcBorders>
              <w:top w:val="single" w:sz="8" w:space="0" w:color="000000"/>
              <w:left w:val="single" w:sz="12" w:space="0" w:color="000000"/>
              <w:bottom w:val="single" w:sz="8" w:space="0" w:color="000000"/>
              <w:right w:val="single" w:sz="12" w:space="0" w:color="000000"/>
            </w:tcBorders>
            <w:hideMark/>
          </w:tcPr>
          <w:p w14:paraId="178EF281" w14:textId="77777777" w:rsidR="00441FC9" w:rsidRDefault="00441FC9">
            <w:pPr>
              <w:jc w:val="center"/>
              <w:rPr>
                <w:szCs w:val="22"/>
              </w:rPr>
            </w:pPr>
            <w:r>
              <w:rPr>
                <w:szCs w:val="22"/>
              </w:rPr>
              <w:t>§63.10(b)(2)(vi)–(xi)</w:t>
            </w:r>
          </w:p>
        </w:tc>
        <w:tc>
          <w:tcPr>
            <w:tcW w:w="3287" w:type="pct"/>
            <w:tcBorders>
              <w:top w:val="single" w:sz="8" w:space="0" w:color="000000"/>
              <w:left w:val="single" w:sz="12" w:space="0" w:color="000000"/>
              <w:bottom w:val="single" w:sz="8" w:space="0" w:color="000000"/>
              <w:right w:val="single" w:sz="12" w:space="0" w:color="000000"/>
            </w:tcBorders>
            <w:hideMark/>
          </w:tcPr>
          <w:p w14:paraId="61FA0AFD" w14:textId="77777777" w:rsidR="00441FC9" w:rsidRDefault="00441FC9">
            <w:pPr>
              <w:ind w:left="79"/>
              <w:rPr>
                <w:szCs w:val="22"/>
              </w:rPr>
            </w:pPr>
            <w:r>
              <w:rPr>
                <w:szCs w:val="22"/>
              </w:rPr>
              <w:t>Records</w:t>
            </w:r>
          </w:p>
        </w:tc>
      </w:tr>
      <w:tr w:rsidR="00441FC9" w14:paraId="50F8F120" w14:textId="77777777" w:rsidTr="00441FC9">
        <w:tc>
          <w:tcPr>
            <w:tcW w:w="1713" w:type="pct"/>
            <w:tcBorders>
              <w:top w:val="single" w:sz="8" w:space="0" w:color="000000"/>
              <w:left w:val="single" w:sz="12" w:space="0" w:color="000000"/>
              <w:bottom w:val="single" w:sz="8" w:space="0" w:color="000000"/>
              <w:right w:val="single" w:sz="12" w:space="0" w:color="000000"/>
            </w:tcBorders>
            <w:hideMark/>
          </w:tcPr>
          <w:p w14:paraId="05652437" w14:textId="77777777" w:rsidR="00441FC9" w:rsidRDefault="00441FC9">
            <w:pPr>
              <w:jc w:val="center"/>
              <w:rPr>
                <w:szCs w:val="22"/>
              </w:rPr>
            </w:pPr>
            <w:r>
              <w:rPr>
                <w:szCs w:val="22"/>
              </w:rPr>
              <w:t>§63.10(b)(2)(xii)</w:t>
            </w:r>
          </w:p>
        </w:tc>
        <w:tc>
          <w:tcPr>
            <w:tcW w:w="3287" w:type="pct"/>
            <w:tcBorders>
              <w:top w:val="single" w:sz="8" w:space="0" w:color="000000"/>
              <w:left w:val="single" w:sz="12" w:space="0" w:color="000000"/>
              <w:bottom w:val="single" w:sz="8" w:space="0" w:color="000000"/>
              <w:right w:val="single" w:sz="12" w:space="0" w:color="000000"/>
            </w:tcBorders>
            <w:hideMark/>
          </w:tcPr>
          <w:p w14:paraId="142B0203" w14:textId="77777777" w:rsidR="00441FC9" w:rsidRDefault="00441FC9">
            <w:pPr>
              <w:ind w:left="79"/>
              <w:rPr>
                <w:szCs w:val="22"/>
              </w:rPr>
            </w:pPr>
            <w:r>
              <w:rPr>
                <w:szCs w:val="22"/>
              </w:rPr>
              <w:t>Record when under waiver</w:t>
            </w:r>
          </w:p>
        </w:tc>
      </w:tr>
      <w:tr w:rsidR="00441FC9" w14:paraId="16DF2365" w14:textId="77777777" w:rsidTr="00441FC9">
        <w:tc>
          <w:tcPr>
            <w:tcW w:w="1713" w:type="pct"/>
            <w:tcBorders>
              <w:top w:val="single" w:sz="8" w:space="0" w:color="000000"/>
              <w:left w:val="single" w:sz="12" w:space="0" w:color="000000"/>
              <w:bottom w:val="single" w:sz="8" w:space="0" w:color="000000"/>
              <w:right w:val="single" w:sz="12" w:space="0" w:color="000000"/>
            </w:tcBorders>
            <w:hideMark/>
          </w:tcPr>
          <w:p w14:paraId="79472FC3" w14:textId="77777777" w:rsidR="00441FC9" w:rsidRDefault="00441FC9">
            <w:pPr>
              <w:jc w:val="center"/>
              <w:rPr>
                <w:szCs w:val="22"/>
              </w:rPr>
            </w:pPr>
            <w:r>
              <w:rPr>
                <w:szCs w:val="22"/>
              </w:rPr>
              <w:t>§63.10(b)(2)(xiv)</w:t>
            </w:r>
          </w:p>
        </w:tc>
        <w:tc>
          <w:tcPr>
            <w:tcW w:w="3287" w:type="pct"/>
            <w:tcBorders>
              <w:top w:val="single" w:sz="8" w:space="0" w:color="000000"/>
              <w:left w:val="single" w:sz="12" w:space="0" w:color="000000"/>
              <w:bottom w:val="single" w:sz="8" w:space="0" w:color="000000"/>
              <w:right w:val="single" w:sz="12" w:space="0" w:color="000000"/>
            </w:tcBorders>
            <w:hideMark/>
          </w:tcPr>
          <w:p w14:paraId="3B00558F" w14:textId="77777777" w:rsidR="00441FC9" w:rsidRDefault="00441FC9">
            <w:pPr>
              <w:ind w:left="79"/>
              <w:rPr>
                <w:szCs w:val="22"/>
              </w:rPr>
            </w:pPr>
            <w:r>
              <w:rPr>
                <w:szCs w:val="22"/>
              </w:rPr>
              <w:t>Records of supporting documentation</w:t>
            </w:r>
          </w:p>
        </w:tc>
      </w:tr>
      <w:tr w:rsidR="00441FC9" w14:paraId="496E48F2" w14:textId="77777777" w:rsidTr="00441FC9">
        <w:tc>
          <w:tcPr>
            <w:tcW w:w="1713" w:type="pct"/>
            <w:tcBorders>
              <w:top w:val="single" w:sz="8" w:space="0" w:color="000000"/>
              <w:left w:val="single" w:sz="12" w:space="0" w:color="000000"/>
              <w:bottom w:val="single" w:sz="8" w:space="0" w:color="000000"/>
              <w:right w:val="single" w:sz="12" w:space="0" w:color="000000"/>
            </w:tcBorders>
            <w:hideMark/>
          </w:tcPr>
          <w:p w14:paraId="095DA85F" w14:textId="77777777" w:rsidR="00441FC9" w:rsidRDefault="00441FC9">
            <w:pPr>
              <w:jc w:val="center"/>
              <w:rPr>
                <w:szCs w:val="22"/>
              </w:rPr>
            </w:pPr>
            <w:r>
              <w:rPr>
                <w:szCs w:val="22"/>
              </w:rPr>
              <w:t>§63.10(b)(3)</w:t>
            </w:r>
          </w:p>
        </w:tc>
        <w:tc>
          <w:tcPr>
            <w:tcW w:w="3287" w:type="pct"/>
            <w:tcBorders>
              <w:top w:val="single" w:sz="8" w:space="0" w:color="000000"/>
              <w:left w:val="single" w:sz="12" w:space="0" w:color="000000"/>
              <w:bottom w:val="single" w:sz="8" w:space="0" w:color="000000"/>
              <w:right w:val="single" w:sz="12" w:space="0" w:color="000000"/>
            </w:tcBorders>
            <w:hideMark/>
          </w:tcPr>
          <w:p w14:paraId="6910ED58" w14:textId="77777777" w:rsidR="00441FC9" w:rsidRDefault="00441FC9">
            <w:pPr>
              <w:ind w:left="79"/>
              <w:rPr>
                <w:szCs w:val="22"/>
              </w:rPr>
            </w:pPr>
            <w:r>
              <w:rPr>
                <w:szCs w:val="22"/>
              </w:rPr>
              <w:t>Records of applicability determination</w:t>
            </w:r>
          </w:p>
        </w:tc>
      </w:tr>
      <w:tr w:rsidR="00441FC9" w14:paraId="43DE18DA" w14:textId="77777777" w:rsidTr="00441FC9">
        <w:tc>
          <w:tcPr>
            <w:tcW w:w="1713" w:type="pct"/>
            <w:tcBorders>
              <w:top w:val="single" w:sz="8" w:space="0" w:color="000000"/>
              <w:left w:val="single" w:sz="12" w:space="0" w:color="000000"/>
              <w:bottom w:val="single" w:sz="8" w:space="0" w:color="000000"/>
              <w:right w:val="single" w:sz="12" w:space="0" w:color="000000"/>
            </w:tcBorders>
            <w:hideMark/>
          </w:tcPr>
          <w:p w14:paraId="26F14F0C" w14:textId="77777777" w:rsidR="00441FC9" w:rsidRDefault="00441FC9">
            <w:pPr>
              <w:jc w:val="center"/>
              <w:rPr>
                <w:szCs w:val="22"/>
              </w:rPr>
            </w:pPr>
            <w:r>
              <w:rPr>
                <w:szCs w:val="22"/>
              </w:rPr>
              <w:t>§63.10(d)(1)</w:t>
            </w:r>
          </w:p>
        </w:tc>
        <w:tc>
          <w:tcPr>
            <w:tcW w:w="3287" w:type="pct"/>
            <w:tcBorders>
              <w:top w:val="single" w:sz="8" w:space="0" w:color="000000"/>
              <w:left w:val="single" w:sz="12" w:space="0" w:color="000000"/>
              <w:bottom w:val="single" w:sz="8" w:space="0" w:color="000000"/>
              <w:right w:val="single" w:sz="12" w:space="0" w:color="000000"/>
            </w:tcBorders>
            <w:hideMark/>
          </w:tcPr>
          <w:p w14:paraId="12723EC0" w14:textId="77777777" w:rsidR="00441FC9" w:rsidRDefault="00441FC9">
            <w:pPr>
              <w:ind w:left="79"/>
              <w:rPr>
                <w:szCs w:val="22"/>
              </w:rPr>
            </w:pPr>
            <w:r>
              <w:rPr>
                <w:szCs w:val="22"/>
              </w:rPr>
              <w:t>General reporting requirements</w:t>
            </w:r>
          </w:p>
        </w:tc>
      </w:tr>
      <w:tr w:rsidR="00441FC9" w14:paraId="15A9AD15" w14:textId="77777777" w:rsidTr="00441FC9">
        <w:tc>
          <w:tcPr>
            <w:tcW w:w="1713" w:type="pct"/>
            <w:tcBorders>
              <w:top w:val="single" w:sz="8" w:space="0" w:color="000000"/>
              <w:left w:val="single" w:sz="12" w:space="0" w:color="000000"/>
              <w:bottom w:val="single" w:sz="8" w:space="0" w:color="000000"/>
              <w:right w:val="single" w:sz="12" w:space="0" w:color="000000"/>
            </w:tcBorders>
            <w:hideMark/>
          </w:tcPr>
          <w:p w14:paraId="3A6C3983" w14:textId="77777777" w:rsidR="00441FC9" w:rsidRDefault="00441FC9">
            <w:pPr>
              <w:jc w:val="center"/>
              <w:rPr>
                <w:szCs w:val="22"/>
              </w:rPr>
            </w:pPr>
            <w:r>
              <w:rPr>
                <w:szCs w:val="22"/>
              </w:rPr>
              <w:t>§63.10(f)</w:t>
            </w:r>
          </w:p>
        </w:tc>
        <w:tc>
          <w:tcPr>
            <w:tcW w:w="3287" w:type="pct"/>
            <w:tcBorders>
              <w:top w:val="single" w:sz="8" w:space="0" w:color="000000"/>
              <w:left w:val="single" w:sz="12" w:space="0" w:color="000000"/>
              <w:bottom w:val="single" w:sz="8" w:space="0" w:color="000000"/>
              <w:right w:val="single" w:sz="12" w:space="0" w:color="000000"/>
            </w:tcBorders>
            <w:hideMark/>
          </w:tcPr>
          <w:p w14:paraId="64E73A05" w14:textId="77777777" w:rsidR="00441FC9" w:rsidRDefault="00441FC9">
            <w:pPr>
              <w:ind w:left="79"/>
              <w:rPr>
                <w:szCs w:val="22"/>
              </w:rPr>
            </w:pPr>
            <w:r>
              <w:rPr>
                <w:szCs w:val="22"/>
              </w:rPr>
              <w:t>Waiver for recordkeeping/reporting</w:t>
            </w:r>
          </w:p>
        </w:tc>
      </w:tr>
      <w:tr w:rsidR="00441FC9" w14:paraId="6ABAC9BB" w14:textId="77777777" w:rsidTr="00441FC9">
        <w:tc>
          <w:tcPr>
            <w:tcW w:w="1713" w:type="pct"/>
            <w:tcBorders>
              <w:top w:val="single" w:sz="8" w:space="0" w:color="000000"/>
              <w:left w:val="single" w:sz="12" w:space="0" w:color="000000"/>
              <w:bottom w:val="single" w:sz="8" w:space="0" w:color="000000"/>
              <w:right w:val="single" w:sz="12" w:space="0" w:color="000000"/>
            </w:tcBorders>
            <w:hideMark/>
          </w:tcPr>
          <w:p w14:paraId="2961BB3F" w14:textId="77777777" w:rsidR="00441FC9" w:rsidRDefault="00441FC9">
            <w:pPr>
              <w:jc w:val="center"/>
              <w:rPr>
                <w:szCs w:val="22"/>
              </w:rPr>
            </w:pPr>
            <w:r>
              <w:rPr>
                <w:szCs w:val="22"/>
              </w:rPr>
              <w:t>§63.12</w:t>
            </w:r>
          </w:p>
        </w:tc>
        <w:tc>
          <w:tcPr>
            <w:tcW w:w="3287" w:type="pct"/>
            <w:tcBorders>
              <w:top w:val="single" w:sz="8" w:space="0" w:color="000000"/>
              <w:left w:val="single" w:sz="12" w:space="0" w:color="000000"/>
              <w:bottom w:val="single" w:sz="8" w:space="0" w:color="000000"/>
              <w:right w:val="single" w:sz="12" w:space="0" w:color="000000"/>
            </w:tcBorders>
            <w:hideMark/>
          </w:tcPr>
          <w:p w14:paraId="255937B4" w14:textId="77777777" w:rsidR="00441FC9" w:rsidRDefault="00441FC9">
            <w:pPr>
              <w:ind w:left="79"/>
              <w:rPr>
                <w:szCs w:val="22"/>
              </w:rPr>
            </w:pPr>
            <w:r>
              <w:rPr>
                <w:szCs w:val="22"/>
              </w:rPr>
              <w:t>State authority and delegations</w:t>
            </w:r>
          </w:p>
        </w:tc>
      </w:tr>
      <w:tr w:rsidR="00441FC9" w14:paraId="55AF8E96" w14:textId="77777777" w:rsidTr="00441FC9">
        <w:tc>
          <w:tcPr>
            <w:tcW w:w="1713" w:type="pct"/>
            <w:tcBorders>
              <w:top w:val="single" w:sz="8" w:space="0" w:color="000000"/>
              <w:left w:val="single" w:sz="12" w:space="0" w:color="000000"/>
              <w:bottom w:val="single" w:sz="8" w:space="0" w:color="000000"/>
              <w:right w:val="single" w:sz="12" w:space="0" w:color="000000"/>
            </w:tcBorders>
            <w:hideMark/>
          </w:tcPr>
          <w:p w14:paraId="1ADA06DE" w14:textId="77777777" w:rsidR="00441FC9" w:rsidRDefault="00441FC9">
            <w:pPr>
              <w:jc w:val="center"/>
              <w:rPr>
                <w:szCs w:val="22"/>
              </w:rPr>
            </w:pPr>
            <w:r>
              <w:rPr>
                <w:szCs w:val="22"/>
              </w:rPr>
              <w:t>§63.13</w:t>
            </w:r>
          </w:p>
        </w:tc>
        <w:tc>
          <w:tcPr>
            <w:tcW w:w="3287" w:type="pct"/>
            <w:tcBorders>
              <w:top w:val="single" w:sz="8" w:space="0" w:color="000000"/>
              <w:left w:val="single" w:sz="12" w:space="0" w:color="000000"/>
              <w:bottom w:val="single" w:sz="8" w:space="0" w:color="000000"/>
              <w:right w:val="single" w:sz="12" w:space="0" w:color="000000"/>
            </w:tcBorders>
            <w:hideMark/>
          </w:tcPr>
          <w:p w14:paraId="394636C2" w14:textId="77777777" w:rsidR="00441FC9" w:rsidRDefault="00441FC9">
            <w:pPr>
              <w:ind w:left="79"/>
              <w:rPr>
                <w:szCs w:val="22"/>
              </w:rPr>
            </w:pPr>
            <w:r>
              <w:rPr>
                <w:szCs w:val="22"/>
              </w:rPr>
              <w:t>Addresses</w:t>
            </w:r>
          </w:p>
        </w:tc>
      </w:tr>
      <w:tr w:rsidR="00441FC9" w14:paraId="2F6B12BE" w14:textId="77777777" w:rsidTr="00441FC9">
        <w:tc>
          <w:tcPr>
            <w:tcW w:w="1713" w:type="pct"/>
            <w:tcBorders>
              <w:top w:val="single" w:sz="8" w:space="0" w:color="000000"/>
              <w:left w:val="single" w:sz="12" w:space="0" w:color="000000"/>
              <w:bottom w:val="single" w:sz="8" w:space="0" w:color="000000"/>
              <w:right w:val="single" w:sz="12" w:space="0" w:color="000000"/>
            </w:tcBorders>
            <w:hideMark/>
          </w:tcPr>
          <w:p w14:paraId="4AFDEFBA" w14:textId="77777777" w:rsidR="00441FC9" w:rsidRDefault="00441FC9">
            <w:pPr>
              <w:jc w:val="center"/>
              <w:rPr>
                <w:szCs w:val="22"/>
              </w:rPr>
            </w:pPr>
            <w:r>
              <w:rPr>
                <w:szCs w:val="22"/>
              </w:rPr>
              <w:t>§63.14</w:t>
            </w:r>
          </w:p>
        </w:tc>
        <w:tc>
          <w:tcPr>
            <w:tcW w:w="3287" w:type="pct"/>
            <w:tcBorders>
              <w:top w:val="single" w:sz="8" w:space="0" w:color="000000"/>
              <w:left w:val="single" w:sz="12" w:space="0" w:color="000000"/>
              <w:bottom w:val="single" w:sz="8" w:space="0" w:color="000000"/>
              <w:right w:val="single" w:sz="12" w:space="0" w:color="000000"/>
            </w:tcBorders>
            <w:hideMark/>
          </w:tcPr>
          <w:p w14:paraId="0AE2873E" w14:textId="77777777" w:rsidR="00441FC9" w:rsidRDefault="00441FC9">
            <w:pPr>
              <w:ind w:left="79"/>
              <w:rPr>
                <w:szCs w:val="22"/>
              </w:rPr>
            </w:pPr>
            <w:r>
              <w:rPr>
                <w:szCs w:val="22"/>
              </w:rPr>
              <w:t>Incorporation by reference</w:t>
            </w:r>
          </w:p>
        </w:tc>
      </w:tr>
      <w:tr w:rsidR="00441FC9" w14:paraId="7A0D22F5" w14:textId="77777777" w:rsidTr="00441FC9">
        <w:tc>
          <w:tcPr>
            <w:tcW w:w="1713" w:type="pct"/>
            <w:tcBorders>
              <w:top w:val="single" w:sz="8" w:space="0" w:color="000000"/>
              <w:left w:val="single" w:sz="12" w:space="0" w:color="000000"/>
              <w:bottom w:val="single" w:sz="12" w:space="0" w:color="000000"/>
              <w:right w:val="single" w:sz="12" w:space="0" w:color="000000"/>
            </w:tcBorders>
            <w:hideMark/>
          </w:tcPr>
          <w:p w14:paraId="39BAC5DC" w14:textId="77777777" w:rsidR="00441FC9" w:rsidRDefault="00441FC9">
            <w:pPr>
              <w:jc w:val="center"/>
              <w:rPr>
                <w:szCs w:val="22"/>
              </w:rPr>
            </w:pPr>
            <w:r>
              <w:rPr>
                <w:szCs w:val="22"/>
              </w:rPr>
              <w:t>§63.15</w:t>
            </w:r>
          </w:p>
        </w:tc>
        <w:tc>
          <w:tcPr>
            <w:tcW w:w="3287" w:type="pct"/>
            <w:tcBorders>
              <w:top w:val="single" w:sz="8" w:space="0" w:color="000000"/>
              <w:left w:val="single" w:sz="12" w:space="0" w:color="000000"/>
              <w:bottom w:val="single" w:sz="12" w:space="0" w:color="000000"/>
              <w:right w:val="single" w:sz="12" w:space="0" w:color="000000"/>
            </w:tcBorders>
            <w:hideMark/>
          </w:tcPr>
          <w:p w14:paraId="4D4563A9" w14:textId="77777777" w:rsidR="00441FC9" w:rsidRDefault="00441FC9">
            <w:pPr>
              <w:ind w:left="79"/>
              <w:rPr>
                <w:szCs w:val="22"/>
              </w:rPr>
            </w:pPr>
            <w:r>
              <w:rPr>
                <w:szCs w:val="22"/>
              </w:rPr>
              <w:t>Availability of information</w:t>
            </w:r>
          </w:p>
        </w:tc>
      </w:tr>
    </w:tbl>
    <w:p w14:paraId="2874096F" w14:textId="77777777" w:rsidR="005A3FEF" w:rsidRPr="005047D6" w:rsidRDefault="00441FC9" w:rsidP="00441FC9">
      <w:pPr>
        <w:tabs>
          <w:tab w:val="left" w:pos="0"/>
          <w:tab w:val="left" w:pos="360"/>
        </w:tabs>
        <w:suppressAutoHyphens/>
        <w:spacing w:after="120"/>
        <w:ind w:left="360"/>
        <w:rPr>
          <w:color w:val="000000"/>
          <w:szCs w:val="22"/>
        </w:rPr>
        <w:sectPr w:rsidR="005A3FEF" w:rsidRPr="005047D6" w:rsidSect="005F79CF">
          <w:headerReference w:type="even" r:id="rId76"/>
          <w:headerReference w:type="default" r:id="rId77"/>
          <w:headerReference w:type="first" r:id="rId78"/>
          <w:pgSz w:w="12240" w:h="15840" w:code="1"/>
          <w:pgMar w:top="1080" w:right="1080" w:bottom="1080" w:left="1080" w:header="720" w:footer="720" w:gutter="0"/>
          <w:paperSrc w:first="15" w:other="15"/>
          <w:cols w:space="720"/>
        </w:sectPr>
      </w:pPr>
      <w:r w:rsidRPr="005047D6">
        <w:rPr>
          <w:color w:val="000000"/>
          <w:szCs w:val="22"/>
        </w:rPr>
        <w:t>[40 CFR</w:t>
      </w:r>
      <w:r w:rsidR="00EE319B" w:rsidRPr="005047D6">
        <w:rPr>
          <w:color w:val="000000"/>
          <w:szCs w:val="22"/>
        </w:rPr>
        <w:t xml:space="preserve"> 63.6645(a),</w:t>
      </w:r>
      <w:r w:rsidRPr="005047D6">
        <w:rPr>
          <w:color w:val="000000"/>
          <w:szCs w:val="22"/>
        </w:rPr>
        <w:t xml:space="preserve"> 63.6665 &amp; Table 8 to Subpart ZZZZ of Part 63]</w:t>
      </w:r>
    </w:p>
    <w:p w14:paraId="4F96E916" w14:textId="3DC8AC4A" w:rsidR="008A0AD2" w:rsidRDefault="008A0AD2" w:rsidP="008A0AD2">
      <w:pPr>
        <w:spacing w:before="120" w:after="120"/>
        <w:rPr>
          <w:b/>
          <w:szCs w:val="22"/>
        </w:rPr>
      </w:pPr>
      <w:bookmarkStart w:id="263" w:name="Section3I"/>
      <w:bookmarkEnd w:id="263"/>
      <w:r>
        <w:rPr>
          <w:b/>
          <w:szCs w:val="22"/>
        </w:rPr>
        <w:t>The specific conditions in this section apply to the following emissions units.</w:t>
      </w:r>
    </w:p>
    <w:tbl>
      <w:tblPr>
        <w:tblW w:w="10053" w:type="dxa"/>
        <w:tblInd w:w="10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top w:w="43" w:type="dxa"/>
          <w:left w:w="72" w:type="dxa"/>
          <w:bottom w:w="43" w:type="dxa"/>
          <w:right w:w="72" w:type="dxa"/>
        </w:tblCellMar>
        <w:tblLook w:val="0000" w:firstRow="0" w:lastRow="0" w:firstColumn="0" w:lastColumn="0" w:noHBand="0" w:noVBand="0"/>
      </w:tblPr>
      <w:tblGrid>
        <w:gridCol w:w="948"/>
        <w:gridCol w:w="9105"/>
      </w:tblGrid>
      <w:tr w:rsidR="008A0AD2" w14:paraId="5306E8B7" w14:textId="77777777" w:rsidTr="008A0AD2">
        <w:trPr>
          <w:trHeight w:val="255"/>
        </w:trPr>
        <w:tc>
          <w:tcPr>
            <w:tcW w:w="948" w:type="dxa"/>
            <w:tcBorders>
              <w:top w:val="single" w:sz="12" w:space="0" w:color="auto"/>
              <w:bottom w:val="single" w:sz="12" w:space="0" w:color="auto"/>
            </w:tcBorders>
          </w:tcPr>
          <w:p w14:paraId="6B78E115" w14:textId="77777777" w:rsidR="008A0AD2" w:rsidRPr="00D075B0" w:rsidRDefault="008A0AD2" w:rsidP="0040417D">
            <w:pPr>
              <w:jc w:val="center"/>
              <w:rPr>
                <w:b/>
                <w:szCs w:val="22"/>
              </w:rPr>
            </w:pPr>
            <w:r w:rsidRPr="00D075B0">
              <w:rPr>
                <w:szCs w:val="22"/>
              </w:rPr>
              <w:br w:type="page"/>
            </w:r>
            <w:r w:rsidRPr="00D075B0">
              <w:rPr>
                <w:szCs w:val="22"/>
              </w:rPr>
              <w:br w:type="page"/>
            </w:r>
            <w:r w:rsidRPr="00D075B0">
              <w:rPr>
                <w:b/>
                <w:szCs w:val="22"/>
              </w:rPr>
              <w:t>EU No.</w:t>
            </w:r>
          </w:p>
        </w:tc>
        <w:tc>
          <w:tcPr>
            <w:tcW w:w="9105" w:type="dxa"/>
            <w:tcBorders>
              <w:top w:val="single" w:sz="12" w:space="0" w:color="auto"/>
              <w:bottom w:val="single" w:sz="12" w:space="0" w:color="auto"/>
            </w:tcBorders>
          </w:tcPr>
          <w:p w14:paraId="175FD8A5" w14:textId="77777777" w:rsidR="008A0AD2" w:rsidRPr="00D075B0" w:rsidRDefault="008A0AD2" w:rsidP="0040417D">
            <w:pPr>
              <w:rPr>
                <w:b/>
                <w:szCs w:val="22"/>
              </w:rPr>
            </w:pPr>
            <w:r w:rsidRPr="00D075B0">
              <w:rPr>
                <w:b/>
                <w:szCs w:val="22"/>
              </w:rPr>
              <w:t>Brief Description</w:t>
            </w:r>
          </w:p>
        </w:tc>
      </w:tr>
      <w:tr w:rsidR="008A0AD2" w14:paraId="7969690A" w14:textId="77777777" w:rsidTr="008A0AD2">
        <w:trPr>
          <w:trHeight w:val="263"/>
        </w:trPr>
        <w:tc>
          <w:tcPr>
            <w:tcW w:w="948" w:type="dxa"/>
            <w:tcBorders>
              <w:top w:val="single" w:sz="12" w:space="0" w:color="auto"/>
              <w:bottom w:val="single" w:sz="6" w:space="0" w:color="auto"/>
            </w:tcBorders>
            <w:vAlign w:val="center"/>
          </w:tcPr>
          <w:p w14:paraId="1195A870" w14:textId="5ED83365" w:rsidR="008A0AD2" w:rsidRPr="005047D6" w:rsidRDefault="008A0AD2" w:rsidP="0040417D">
            <w:pPr>
              <w:jc w:val="center"/>
              <w:rPr>
                <w:szCs w:val="22"/>
              </w:rPr>
            </w:pPr>
            <w:r w:rsidRPr="005047D6">
              <w:rPr>
                <w:szCs w:val="22"/>
              </w:rPr>
              <w:t>024</w:t>
            </w:r>
          </w:p>
        </w:tc>
        <w:tc>
          <w:tcPr>
            <w:tcW w:w="9105" w:type="dxa"/>
            <w:tcBorders>
              <w:top w:val="single" w:sz="12" w:space="0" w:color="auto"/>
              <w:bottom w:val="single" w:sz="6" w:space="0" w:color="auto"/>
            </w:tcBorders>
            <w:vAlign w:val="center"/>
          </w:tcPr>
          <w:p w14:paraId="356B88BC" w14:textId="367119EF" w:rsidR="008A0AD2" w:rsidRPr="005047D6" w:rsidRDefault="008A0AD2" w:rsidP="0040417D">
            <w:pPr>
              <w:rPr>
                <w:szCs w:val="22"/>
              </w:rPr>
            </w:pPr>
            <w:r w:rsidRPr="005047D6">
              <w:rPr>
                <w:szCs w:val="22"/>
              </w:rPr>
              <w:t>SI Engine-driven Emergency Generator</w:t>
            </w:r>
          </w:p>
        </w:tc>
      </w:tr>
      <w:tr w:rsidR="008A0AD2" w14:paraId="04DA179E" w14:textId="77777777" w:rsidTr="008A0AD2">
        <w:trPr>
          <w:trHeight w:val="255"/>
        </w:trPr>
        <w:tc>
          <w:tcPr>
            <w:tcW w:w="948" w:type="dxa"/>
            <w:tcBorders>
              <w:top w:val="single" w:sz="6" w:space="0" w:color="auto"/>
              <w:bottom w:val="single" w:sz="12" w:space="0" w:color="auto"/>
            </w:tcBorders>
            <w:vAlign w:val="center"/>
          </w:tcPr>
          <w:p w14:paraId="4B1A85DA" w14:textId="279220FB" w:rsidR="008A0AD2" w:rsidRPr="005047D6" w:rsidRDefault="008A0AD2" w:rsidP="0040417D">
            <w:pPr>
              <w:jc w:val="center"/>
              <w:rPr>
                <w:szCs w:val="22"/>
              </w:rPr>
            </w:pPr>
            <w:r w:rsidRPr="005047D6">
              <w:rPr>
                <w:szCs w:val="22"/>
              </w:rPr>
              <w:t>027</w:t>
            </w:r>
          </w:p>
        </w:tc>
        <w:tc>
          <w:tcPr>
            <w:tcW w:w="9105" w:type="dxa"/>
            <w:tcBorders>
              <w:top w:val="single" w:sz="6" w:space="0" w:color="auto"/>
              <w:bottom w:val="single" w:sz="12" w:space="0" w:color="auto"/>
            </w:tcBorders>
            <w:vAlign w:val="center"/>
          </w:tcPr>
          <w:p w14:paraId="538DE013" w14:textId="0BBA2DAD" w:rsidR="008A0AD2" w:rsidRPr="005047D6" w:rsidRDefault="008A0AD2" w:rsidP="0040417D">
            <w:r w:rsidRPr="005047D6">
              <w:t>Data Center Emergency SI RICE</w:t>
            </w:r>
          </w:p>
        </w:tc>
      </w:tr>
    </w:tbl>
    <w:p w14:paraId="6E3D28C7" w14:textId="5E6C0FE8" w:rsidR="008A0AD2" w:rsidRDefault="00114020" w:rsidP="008A0AD2">
      <w:pPr>
        <w:spacing w:before="120" w:after="120"/>
        <w:rPr>
          <w:szCs w:val="22"/>
        </w:rPr>
      </w:pPr>
      <w:r w:rsidRPr="005047D6">
        <w:rPr>
          <w:szCs w:val="22"/>
        </w:rPr>
        <w:t xml:space="preserve">EU No. </w:t>
      </w:r>
      <w:r w:rsidR="008A0AD2" w:rsidRPr="005047D6">
        <w:rPr>
          <w:szCs w:val="22"/>
        </w:rPr>
        <w:t>024 is an emergency generator/engine set, SI four-stroke RICE that fires natural gas with a maximum engine power</w:t>
      </w:r>
      <w:r w:rsidR="008A0AD2">
        <w:rPr>
          <w:szCs w:val="22"/>
        </w:rPr>
        <w:t xml:space="preserve"> of 48 HP at 100% load (approximately 30 kW).  The engine has never been reconstructed or modified.</w:t>
      </w:r>
    </w:p>
    <w:p w14:paraId="4595E958" w14:textId="3E939420" w:rsidR="00114020" w:rsidRPr="005047D6" w:rsidRDefault="00114020" w:rsidP="008A0AD2">
      <w:pPr>
        <w:spacing w:before="120" w:after="120"/>
        <w:rPr>
          <w:szCs w:val="22"/>
        </w:rPr>
      </w:pPr>
      <w:r w:rsidRPr="005047D6">
        <w:rPr>
          <w:szCs w:val="22"/>
        </w:rPr>
        <w:t xml:space="preserve">EU No. 027 is an SI emergency engine-electrical generator that </w:t>
      </w:r>
      <w:r w:rsidR="002F6D7F" w:rsidRPr="005047D6">
        <w:rPr>
          <w:szCs w:val="22"/>
        </w:rPr>
        <w:t xml:space="preserve">fires </w:t>
      </w:r>
      <w:r w:rsidRPr="005047D6">
        <w:rPr>
          <w:szCs w:val="22"/>
        </w:rPr>
        <w:t xml:space="preserve">propane with a maximum engine horsepower of 71 HP at its rated kW (45 kW).  This engine-generator set supplies emergency power to a phone room/data center that will be added to the facility.  </w:t>
      </w:r>
    </w:p>
    <w:p w14:paraId="3B524B49" w14:textId="72AB286C" w:rsidR="008A0AD2" w:rsidRPr="005047D6" w:rsidRDefault="008A0AD2" w:rsidP="008A0AD2">
      <w:pPr>
        <w:spacing w:after="120"/>
        <w:rPr>
          <w:szCs w:val="22"/>
        </w:rPr>
      </w:pPr>
      <w:r w:rsidRPr="005047D6">
        <w:rPr>
          <w:szCs w:val="22"/>
        </w:rPr>
        <w:t>The following table provides important details for the engines regulated as EU</w:t>
      </w:r>
      <w:r w:rsidR="007B15D1" w:rsidRPr="005047D6">
        <w:rPr>
          <w:szCs w:val="22"/>
        </w:rPr>
        <w:t xml:space="preserve"> Nos.</w:t>
      </w:r>
      <w:r w:rsidRPr="005047D6">
        <w:rPr>
          <w:szCs w:val="22"/>
        </w:rPr>
        <w:t xml:space="preserve"> 024</w:t>
      </w:r>
      <w:r w:rsidR="007B15D1" w:rsidRPr="005047D6">
        <w:rPr>
          <w:szCs w:val="22"/>
        </w:rPr>
        <w:t xml:space="preserve"> and 027</w:t>
      </w:r>
      <w:r w:rsidRPr="005047D6">
        <w:rPr>
          <w:szCs w:val="22"/>
        </w:rPr>
        <w:t>:</w:t>
      </w:r>
    </w:p>
    <w:tbl>
      <w:tblPr>
        <w:tblW w:w="10080" w:type="dxa"/>
        <w:tblInd w:w="108"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Look w:val="01E0" w:firstRow="1" w:lastRow="1" w:firstColumn="1" w:lastColumn="1" w:noHBand="0" w:noVBand="0"/>
      </w:tblPr>
      <w:tblGrid>
        <w:gridCol w:w="2160"/>
        <w:gridCol w:w="1260"/>
        <w:gridCol w:w="1530"/>
        <w:gridCol w:w="900"/>
        <w:gridCol w:w="1710"/>
        <w:gridCol w:w="1620"/>
        <w:gridCol w:w="900"/>
      </w:tblGrid>
      <w:tr w:rsidR="008A0AD2" w14:paraId="3EAD9D69" w14:textId="77777777" w:rsidTr="007B15D1">
        <w:trPr>
          <w:trHeight w:val="555"/>
        </w:trPr>
        <w:tc>
          <w:tcPr>
            <w:tcW w:w="2160" w:type="dxa"/>
            <w:tcBorders>
              <w:top w:val="single" w:sz="12" w:space="0" w:color="auto"/>
              <w:left w:val="single" w:sz="12" w:space="0" w:color="auto"/>
              <w:bottom w:val="single" w:sz="12" w:space="0" w:color="auto"/>
              <w:right w:val="single" w:sz="6" w:space="0" w:color="auto"/>
            </w:tcBorders>
            <w:shd w:val="clear" w:color="auto" w:fill="auto"/>
            <w:vAlign w:val="center"/>
            <w:hideMark/>
          </w:tcPr>
          <w:p w14:paraId="5F1F060F" w14:textId="77777777" w:rsidR="008A0AD2" w:rsidRDefault="008A0AD2">
            <w:pPr>
              <w:ind w:right="-18"/>
              <w:jc w:val="center"/>
              <w:rPr>
                <w:b/>
                <w:szCs w:val="22"/>
              </w:rPr>
            </w:pPr>
            <w:r>
              <w:rPr>
                <w:b/>
                <w:szCs w:val="22"/>
              </w:rPr>
              <w:t>Engine Identification</w:t>
            </w:r>
          </w:p>
        </w:tc>
        <w:tc>
          <w:tcPr>
            <w:tcW w:w="1260" w:type="dxa"/>
            <w:tcBorders>
              <w:top w:val="single" w:sz="12" w:space="0" w:color="auto"/>
              <w:left w:val="single" w:sz="6" w:space="0" w:color="auto"/>
              <w:bottom w:val="single" w:sz="12" w:space="0" w:color="auto"/>
              <w:right w:val="single" w:sz="6" w:space="0" w:color="auto"/>
            </w:tcBorders>
            <w:shd w:val="clear" w:color="auto" w:fill="auto"/>
            <w:vAlign w:val="center"/>
            <w:hideMark/>
          </w:tcPr>
          <w:p w14:paraId="443865C9" w14:textId="77777777" w:rsidR="008A0AD2" w:rsidRDefault="008A0AD2">
            <w:pPr>
              <w:jc w:val="center"/>
              <w:rPr>
                <w:szCs w:val="22"/>
              </w:rPr>
            </w:pPr>
            <w:r>
              <w:rPr>
                <w:b/>
                <w:szCs w:val="22"/>
              </w:rPr>
              <w:t>Engine Brake HP</w:t>
            </w:r>
          </w:p>
        </w:tc>
        <w:tc>
          <w:tcPr>
            <w:tcW w:w="1530" w:type="dxa"/>
            <w:tcBorders>
              <w:top w:val="single" w:sz="12" w:space="0" w:color="auto"/>
              <w:left w:val="single" w:sz="6" w:space="0" w:color="auto"/>
              <w:bottom w:val="single" w:sz="12" w:space="0" w:color="auto"/>
              <w:right w:val="single" w:sz="6" w:space="0" w:color="auto"/>
            </w:tcBorders>
            <w:shd w:val="clear" w:color="auto" w:fill="auto"/>
            <w:vAlign w:val="center"/>
            <w:hideMark/>
          </w:tcPr>
          <w:p w14:paraId="42A59EEB" w14:textId="77777777" w:rsidR="008A0AD2" w:rsidRDefault="008A0AD2">
            <w:pPr>
              <w:jc w:val="center"/>
              <w:rPr>
                <w:szCs w:val="22"/>
              </w:rPr>
            </w:pPr>
            <w:r>
              <w:rPr>
                <w:b/>
                <w:szCs w:val="22"/>
              </w:rPr>
              <w:t>Date of Construction</w:t>
            </w:r>
          </w:p>
        </w:tc>
        <w:tc>
          <w:tcPr>
            <w:tcW w:w="900" w:type="dxa"/>
            <w:tcBorders>
              <w:top w:val="single" w:sz="12" w:space="0" w:color="auto"/>
              <w:left w:val="single" w:sz="6" w:space="0" w:color="auto"/>
              <w:bottom w:val="single" w:sz="12" w:space="0" w:color="auto"/>
              <w:right w:val="single" w:sz="6" w:space="0" w:color="auto"/>
            </w:tcBorders>
            <w:shd w:val="clear" w:color="auto" w:fill="auto"/>
            <w:vAlign w:val="center"/>
            <w:hideMark/>
          </w:tcPr>
          <w:p w14:paraId="66CE8179" w14:textId="77777777" w:rsidR="008A0AD2" w:rsidRDefault="008A0AD2">
            <w:pPr>
              <w:jc w:val="center"/>
              <w:rPr>
                <w:b/>
                <w:szCs w:val="22"/>
              </w:rPr>
            </w:pPr>
            <w:r>
              <w:rPr>
                <w:b/>
                <w:szCs w:val="22"/>
              </w:rPr>
              <w:t>Model Year</w:t>
            </w:r>
          </w:p>
        </w:tc>
        <w:tc>
          <w:tcPr>
            <w:tcW w:w="1710" w:type="dxa"/>
            <w:tcBorders>
              <w:top w:val="single" w:sz="12" w:space="0" w:color="auto"/>
              <w:left w:val="single" w:sz="6" w:space="0" w:color="auto"/>
              <w:bottom w:val="single" w:sz="12" w:space="0" w:color="auto"/>
              <w:right w:val="single" w:sz="6" w:space="0" w:color="auto"/>
            </w:tcBorders>
            <w:shd w:val="clear" w:color="auto" w:fill="auto"/>
            <w:vAlign w:val="center"/>
            <w:hideMark/>
          </w:tcPr>
          <w:p w14:paraId="1B49F293" w14:textId="77777777" w:rsidR="008A0AD2" w:rsidRDefault="008A0AD2">
            <w:pPr>
              <w:jc w:val="center"/>
              <w:rPr>
                <w:szCs w:val="22"/>
              </w:rPr>
            </w:pPr>
            <w:r>
              <w:rPr>
                <w:b/>
                <w:szCs w:val="22"/>
              </w:rPr>
              <w:t>Displacement liters/cylinder (l/c)</w:t>
            </w:r>
          </w:p>
        </w:tc>
        <w:tc>
          <w:tcPr>
            <w:tcW w:w="1620" w:type="dxa"/>
            <w:tcBorders>
              <w:top w:val="single" w:sz="12" w:space="0" w:color="auto"/>
              <w:left w:val="single" w:sz="6" w:space="0" w:color="auto"/>
              <w:bottom w:val="single" w:sz="12" w:space="0" w:color="auto"/>
              <w:right w:val="single" w:sz="6" w:space="0" w:color="auto"/>
            </w:tcBorders>
            <w:shd w:val="clear" w:color="auto" w:fill="auto"/>
            <w:vAlign w:val="center"/>
            <w:hideMark/>
          </w:tcPr>
          <w:p w14:paraId="7EEBAF4A" w14:textId="77777777" w:rsidR="008A0AD2" w:rsidRDefault="008A0AD2">
            <w:pPr>
              <w:jc w:val="center"/>
              <w:rPr>
                <w:b/>
                <w:szCs w:val="22"/>
              </w:rPr>
            </w:pPr>
            <w:r>
              <w:rPr>
                <w:b/>
                <w:szCs w:val="22"/>
              </w:rPr>
              <w:t>Engine Manufacturer</w:t>
            </w:r>
          </w:p>
        </w:tc>
        <w:tc>
          <w:tcPr>
            <w:tcW w:w="900" w:type="dxa"/>
            <w:tcBorders>
              <w:top w:val="single" w:sz="12" w:space="0" w:color="auto"/>
              <w:left w:val="single" w:sz="6" w:space="0" w:color="auto"/>
              <w:bottom w:val="single" w:sz="12" w:space="0" w:color="auto"/>
              <w:right w:val="single" w:sz="12" w:space="0" w:color="auto"/>
            </w:tcBorders>
            <w:shd w:val="clear" w:color="auto" w:fill="auto"/>
            <w:vAlign w:val="center"/>
            <w:hideMark/>
          </w:tcPr>
          <w:p w14:paraId="32B0AB6F" w14:textId="77777777" w:rsidR="008A0AD2" w:rsidRDefault="008A0AD2">
            <w:pPr>
              <w:jc w:val="center"/>
              <w:rPr>
                <w:b/>
                <w:szCs w:val="22"/>
              </w:rPr>
            </w:pPr>
            <w:r>
              <w:rPr>
                <w:b/>
                <w:szCs w:val="22"/>
              </w:rPr>
              <w:t>Model No.</w:t>
            </w:r>
          </w:p>
        </w:tc>
      </w:tr>
      <w:tr w:rsidR="008A0AD2" w14:paraId="7BB4D5D0" w14:textId="77777777" w:rsidTr="007B15D1">
        <w:trPr>
          <w:trHeight w:val="663"/>
        </w:trPr>
        <w:tc>
          <w:tcPr>
            <w:tcW w:w="2160" w:type="dxa"/>
            <w:tcBorders>
              <w:top w:val="single" w:sz="12" w:space="0" w:color="auto"/>
              <w:left w:val="single" w:sz="12" w:space="0" w:color="auto"/>
              <w:bottom w:val="single" w:sz="6" w:space="0" w:color="auto"/>
              <w:right w:val="single" w:sz="6" w:space="0" w:color="auto"/>
            </w:tcBorders>
            <w:vAlign w:val="center"/>
            <w:hideMark/>
          </w:tcPr>
          <w:p w14:paraId="257CA80D" w14:textId="2B3A9BB7" w:rsidR="008A0AD2" w:rsidRPr="007506C1" w:rsidRDefault="007B15D1">
            <w:pPr>
              <w:ind w:right="-18"/>
              <w:jc w:val="center"/>
              <w:rPr>
                <w:szCs w:val="22"/>
              </w:rPr>
            </w:pPr>
            <w:r w:rsidRPr="007506C1">
              <w:rPr>
                <w:szCs w:val="22"/>
              </w:rPr>
              <w:t>EU No. 024</w:t>
            </w:r>
          </w:p>
        </w:tc>
        <w:tc>
          <w:tcPr>
            <w:tcW w:w="1260" w:type="dxa"/>
            <w:tcBorders>
              <w:top w:val="single" w:sz="12" w:space="0" w:color="auto"/>
              <w:left w:val="single" w:sz="6" w:space="0" w:color="auto"/>
              <w:bottom w:val="single" w:sz="6" w:space="0" w:color="auto"/>
              <w:right w:val="single" w:sz="6" w:space="0" w:color="auto"/>
            </w:tcBorders>
            <w:vAlign w:val="center"/>
            <w:hideMark/>
          </w:tcPr>
          <w:p w14:paraId="3A47CB92" w14:textId="77777777" w:rsidR="008A0AD2" w:rsidRPr="007506C1" w:rsidRDefault="008A0AD2">
            <w:pPr>
              <w:jc w:val="center"/>
              <w:rPr>
                <w:szCs w:val="22"/>
              </w:rPr>
            </w:pPr>
            <w:r w:rsidRPr="007506C1">
              <w:rPr>
                <w:szCs w:val="22"/>
              </w:rPr>
              <w:t>48</w:t>
            </w:r>
          </w:p>
          <w:p w14:paraId="6F597980" w14:textId="77777777" w:rsidR="008A0AD2" w:rsidRPr="007506C1" w:rsidRDefault="008A0AD2">
            <w:pPr>
              <w:jc w:val="center"/>
              <w:rPr>
                <w:szCs w:val="22"/>
              </w:rPr>
            </w:pPr>
            <w:r w:rsidRPr="007506C1">
              <w:rPr>
                <w:szCs w:val="22"/>
              </w:rPr>
              <w:t>(30 kW)</w:t>
            </w:r>
          </w:p>
        </w:tc>
        <w:tc>
          <w:tcPr>
            <w:tcW w:w="1530" w:type="dxa"/>
            <w:tcBorders>
              <w:top w:val="single" w:sz="12" w:space="0" w:color="auto"/>
              <w:left w:val="single" w:sz="6" w:space="0" w:color="auto"/>
              <w:bottom w:val="single" w:sz="6" w:space="0" w:color="auto"/>
              <w:right w:val="single" w:sz="6" w:space="0" w:color="auto"/>
            </w:tcBorders>
            <w:vAlign w:val="center"/>
            <w:hideMark/>
          </w:tcPr>
          <w:p w14:paraId="56971F0E" w14:textId="77777777" w:rsidR="008A0AD2" w:rsidRPr="007506C1" w:rsidRDefault="008A0AD2">
            <w:pPr>
              <w:jc w:val="center"/>
              <w:rPr>
                <w:szCs w:val="22"/>
              </w:rPr>
            </w:pPr>
            <w:r w:rsidRPr="007506C1">
              <w:rPr>
                <w:szCs w:val="22"/>
              </w:rPr>
              <w:t>2013</w:t>
            </w:r>
          </w:p>
        </w:tc>
        <w:tc>
          <w:tcPr>
            <w:tcW w:w="900" w:type="dxa"/>
            <w:tcBorders>
              <w:top w:val="single" w:sz="12" w:space="0" w:color="auto"/>
              <w:left w:val="single" w:sz="6" w:space="0" w:color="auto"/>
              <w:bottom w:val="single" w:sz="6" w:space="0" w:color="auto"/>
              <w:right w:val="single" w:sz="6" w:space="0" w:color="auto"/>
            </w:tcBorders>
            <w:vAlign w:val="center"/>
            <w:hideMark/>
          </w:tcPr>
          <w:p w14:paraId="7E8F4A27" w14:textId="77777777" w:rsidR="008A0AD2" w:rsidRPr="007506C1" w:rsidRDefault="008A0AD2">
            <w:pPr>
              <w:jc w:val="center"/>
              <w:rPr>
                <w:szCs w:val="22"/>
              </w:rPr>
            </w:pPr>
            <w:r w:rsidRPr="007506C1">
              <w:rPr>
                <w:szCs w:val="22"/>
              </w:rPr>
              <w:t>2013</w:t>
            </w:r>
          </w:p>
        </w:tc>
        <w:tc>
          <w:tcPr>
            <w:tcW w:w="1710" w:type="dxa"/>
            <w:tcBorders>
              <w:top w:val="single" w:sz="12" w:space="0" w:color="auto"/>
              <w:left w:val="single" w:sz="6" w:space="0" w:color="auto"/>
              <w:bottom w:val="single" w:sz="6" w:space="0" w:color="auto"/>
              <w:right w:val="single" w:sz="6" w:space="0" w:color="auto"/>
            </w:tcBorders>
            <w:vAlign w:val="center"/>
            <w:hideMark/>
          </w:tcPr>
          <w:p w14:paraId="5A1CB3DA" w14:textId="77777777" w:rsidR="008A0AD2" w:rsidRPr="007506C1" w:rsidRDefault="008A0AD2">
            <w:pPr>
              <w:jc w:val="center"/>
              <w:rPr>
                <w:szCs w:val="22"/>
              </w:rPr>
            </w:pPr>
            <w:r w:rsidRPr="007506C1">
              <w:rPr>
                <w:szCs w:val="22"/>
              </w:rPr>
              <w:t>0.5</w:t>
            </w:r>
          </w:p>
        </w:tc>
        <w:tc>
          <w:tcPr>
            <w:tcW w:w="1620" w:type="dxa"/>
            <w:tcBorders>
              <w:top w:val="single" w:sz="12" w:space="0" w:color="auto"/>
              <w:left w:val="single" w:sz="6" w:space="0" w:color="auto"/>
              <w:bottom w:val="single" w:sz="6" w:space="0" w:color="auto"/>
              <w:right w:val="single" w:sz="6" w:space="0" w:color="auto"/>
            </w:tcBorders>
            <w:vAlign w:val="center"/>
            <w:hideMark/>
          </w:tcPr>
          <w:p w14:paraId="1A2C8B70" w14:textId="77777777" w:rsidR="008A0AD2" w:rsidRPr="007506C1" w:rsidRDefault="008A0AD2">
            <w:pPr>
              <w:jc w:val="center"/>
              <w:rPr>
                <w:szCs w:val="22"/>
              </w:rPr>
            </w:pPr>
            <w:r w:rsidRPr="007506C1">
              <w:rPr>
                <w:szCs w:val="22"/>
              </w:rPr>
              <w:t>Generac</w:t>
            </w:r>
          </w:p>
        </w:tc>
        <w:tc>
          <w:tcPr>
            <w:tcW w:w="900" w:type="dxa"/>
            <w:tcBorders>
              <w:top w:val="single" w:sz="12" w:space="0" w:color="auto"/>
              <w:left w:val="single" w:sz="6" w:space="0" w:color="auto"/>
              <w:bottom w:val="single" w:sz="6" w:space="0" w:color="auto"/>
              <w:right w:val="single" w:sz="12" w:space="0" w:color="auto"/>
            </w:tcBorders>
            <w:vAlign w:val="center"/>
            <w:hideMark/>
          </w:tcPr>
          <w:p w14:paraId="39EE07FA" w14:textId="77777777" w:rsidR="008A0AD2" w:rsidRPr="007506C1" w:rsidRDefault="008A0AD2">
            <w:pPr>
              <w:jc w:val="center"/>
              <w:rPr>
                <w:szCs w:val="22"/>
              </w:rPr>
            </w:pPr>
            <w:r w:rsidRPr="007506C1">
              <w:rPr>
                <w:szCs w:val="22"/>
              </w:rPr>
              <w:t>QT030</w:t>
            </w:r>
          </w:p>
        </w:tc>
      </w:tr>
      <w:tr w:rsidR="007B15D1" w14:paraId="67C0EB85" w14:textId="77777777" w:rsidTr="007B15D1">
        <w:trPr>
          <w:trHeight w:val="663"/>
        </w:trPr>
        <w:tc>
          <w:tcPr>
            <w:tcW w:w="2160" w:type="dxa"/>
            <w:tcBorders>
              <w:top w:val="single" w:sz="6" w:space="0" w:color="auto"/>
              <w:left w:val="single" w:sz="12" w:space="0" w:color="auto"/>
              <w:bottom w:val="single" w:sz="12" w:space="0" w:color="auto"/>
              <w:right w:val="single" w:sz="6" w:space="0" w:color="auto"/>
            </w:tcBorders>
            <w:vAlign w:val="center"/>
          </w:tcPr>
          <w:p w14:paraId="6093C7C6" w14:textId="25F61912" w:rsidR="007B15D1" w:rsidRPr="007506C1" w:rsidRDefault="007B15D1">
            <w:pPr>
              <w:ind w:right="-18"/>
              <w:jc w:val="center"/>
              <w:rPr>
                <w:szCs w:val="22"/>
              </w:rPr>
            </w:pPr>
            <w:r w:rsidRPr="007506C1">
              <w:rPr>
                <w:szCs w:val="22"/>
              </w:rPr>
              <w:t>EU No. 02</w:t>
            </w:r>
            <w:r w:rsidR="00114020" w:rsidRPr="007506C1">
              <w:rPr>
                <w:szCs w:val="22"/>
              </w:rPr>
              <w:t>7</w:t>
            </w:r>
          </w:p>
        </w:tc>
        <w:tc>
          <w:tcPr>
            <w:tcW w:w="1260" w:type="dxa"/>
            <w:tcBorders>
              <w:top w:val="single" w:sz="6" w:space="0" w:color="auto"/>
              <w:left w:val="single" w:sz="6" w:space="0" w:color="auto"/>
              <w:bottom w:val="single" w:sz="12" w:space="0" w:color="auto"/>
              <w:right w:val="single" w:sz="6" w:space="0" w:color="auto"/>
            </w:tcBorders>
            <w:vAlign w:val="center"/>
          </w:tcPr>
          <w:p w14:paraId="320BE5F1" w14:textId="4B2A1823" w:rsidR="00A57F1A" w:rsidRPr="007506C1" w:rsidRDefault="00A57F1A" w:rsidP="00A57F1A">
            <w:pPr>
              <w:jc w:val="center"/>
              <w:rPr>
                <w:strike/>
                <w:szCs w:val="22"/>
              </w:rPr>
            </w:pPr>
            <w:r w:rsidRPr="007506C1">
              <w:rPr>
                <w:szCs w:val="22"/>
              </w:rPr>
              <w:t>71</w:t>
            </w:r>
          </w:p>
          <w:p w14:paraId="2063E813" w14:textId="1FE741D1" w:rsidR="007B15D1" w:rsidRPr="007506C1" w:rsidRDefault="00A57F1A" w:rsidP="00A57F1A">
            <w:pPr>
              <w:jc w:val="center"/>
              <w:rPr>
                <w:szCs w:val="22"/>
              </w:rPr>
            </w:pPr>
            <w:r w:rsidRPr="007506C1">
              <w:rPr>
                <w:szCs w:val="22"/>
              </w:rPr>
              <w:t>(45 kW)</w:t>
            </w:r>
          </w:p>
        </w:tc>
        <w:tc>
          <w:tcPr>
            <w:tcW w:w="1530" w:type="dxa"/>
            <w:tcBorders>
              <w:top w:val="single" w:sz="6" w:space="0" w:color="auto"/>
              <w:left w:val="single" w:sz="6" w:space="0" w:color="auto"/>
              <w:bottom w:val="single" w:sz="12" w:space="0" w:color="auto"/>
              <w:right w:val="single" w:sz="6" w:space="0" w:color="auto"/>
            </w:tcBorders>
            <w:vAlign w:val="center"/>
          </w:tcPr>
          <w:p w14:paraId="33CADF05" w14:textId="3AEBEF80" w:rsidR="007B15D1" w:rsidRPr="007506C1" w:rsidRDefault="007B15D1">
            <w:pPr>
              <w:jc w:val="center"/>
              <w:rPr>
                <w:szCs w:val="22"/>
              </w:rPr>
            </w:pPr>
            <w:r w:rsidRPr="007506C1">
              <w:rPr>
                <w:szCs w:val="22"/>
              </w:rPr>
              <w:t>201</w:t>
            </w:r>
            <w:r w:rsidR="009D37BA" w:rsidRPr="007506C1">
              <w:rPr>
                <w:szCs w:val="22"/>
              </w:rPr>
              <w:t>8</w:t>
            </w:r>
          </w:p>
        </w:tc>
        <w:tc>
          <w:tcPr>
            <w:tcW w:w="900" w:type="dxa"/>
            <w:tcBorders>
              <w:top w:val="single" w:sz="6" w:space="0" w:color="auto"/>
              <w:left w:val="single" w:sz="6" w:space="0" w:color="auto"/>
              <w:bottom w:val="single" w:sz="12" w:space="0" w:color="auto"/>
              <w:right w:val="single" w:sz="6" w:space="0" w:color="auto"/>
            </w:tcBorders>
            <w:vAlign w:val="center"/>
          </w:tcPr>
          <w:p w14:paraId="08DA8C8D" w14:textId="478345E0" w:rsidR="007B15D1" w:rsidRPr="007506C1" w:rsidRDefault="007B15D1">
            <w:pPr>
              <w:jc w:val="center"/>
              <w:rPr>
                <w:szCs w:val="22"/>
              </w:rPr>
            </w:pPr>
            <w:r w:rsidRPr="007506C1">
              <w:rPr>
                <w:szCs w:val="22"/>
              </w:rPr>
              <w:t>2017</w:t>
            </w:r>
          </w:p>
        </w:tc>
        <w:tc>
          <w:tcPr>
            <w:tcW w:w="1710" w:type="dxa"/>
            <w:tcBorders>
              <w:top w:val="single" w:sz="6" w:space="0" w:color="auto"/>
              <w:left w:val="single" w:sz="6" w:space="0" w:color="auto"/>
              <w:bottom w:val="single" w:sz="12" w:space="0" w:color="auto"/>
              <w:right w:val="single" w:sz="6" w:space="0" w:color="auto"/>
            </w:tcBorders>
            <w:vAlign w:val="center"/>
          </w:tcPr>
          <w:p w14:paraId="434EA682" w14:textId="6332012F" w:rsidR="007B15D1" w:rsidRPr="007506C1" w:rsidRDefault="007B15D1">
            <w:pPr>
              <w:jc w:val="center"/>
              <w:rPr>
                <w:szCs w:val="22"/>
              </w:rPr>
            </w:pPr>
            <w:r w:rsidRPr="007506C1">
              <w:rPr>
                <w:szCs w:val="22"/>
              </w:rPr>
              <w:t>0.675</w:t>
            </w:r>
          </w:p>
        </w:tc>
        <w:tc>
          <w:tcPr>
            <w:tcW w:w="1620" w:type="dxa"/>
            <w:tcBorders>
              <w:top w:val="single" w:sz="6" w:space="0" w:color="auto"/>
              <w:left w:val="single" w:sz="6" w:space="0" w:color="auto"/>
              <w:bottom w:val="single" w:sz="12" w:space="0" w:color="auto"/>
              <w:right w:val="single" w:sz="6" w:space="0" w:color="auto"/>
            </w:tcBorders>
            <w:vAlign w:val="center"/>
          </w:tcPr>
          <w:p w14:paraId="3B56A64A" w14:textId="17B9232B" w:rsidR="007B15D1" w:rsidRPr="007506C1" w:rsidRDefault="007B15D1">
            <w:pPr>
              <w:jc w:val="center"/>
              <w:rPr>
                <w:szCs w:val="22"/>
              </w:rPr>
            </w:pPr>
            <w:r w:rsidRPr="007506C1">
              <w:rPr>
                <w:szCs w:val="22"/>
              </w:rPr>
              <w:t>Generac</w:t>
            </w:r>
          </w:p>
        </w:tc>
        <w:tc>
          <w:tcPr>
            <w:tcW w:w="900" w:type="dxa"/>
            <w:tcBorders>
              <w:top w:val="single" w:sz="6" w:space="0" w:color="auto"/>
              <w:left w:val="single" w:sz="6" w:space="0" w:color="auto"/>
              <w:bottom w:val="single" w:sz="12" w:space="0" w:color="auto"/>
              <w:right w:val="single" w:sz="12" w:space="0" w:color="auto"/>
            </w:tcBorders>
            <w:vAlign w:val="center"/>
          </w:tcPr>
          <w:p w14:paraId="06362F4A" w14:textId="3C11B5DB" w:rsidR="007B15D1" w:rsidRPr="007506C1" w:rsidRDefault="007B15D1">
            <w:pPr>
              <w:jc w:val="center"/>
              <w:rPr>
                <w:szCs w:val="22"/>
              </w:rPr>
            </w:pPr>
            <w:r w:rsidRPr="007506C1">
              <w:rPr>
                <w:szCs w:val="22"/>
              </w:rPr>
              <w:t>SG045</w:t>
            </w:r>
          </w:p>
        </w:tc>
      </w:tr>
    </w:tbl>
    <w:p w14:paraId="13A38619" w14:textId="18070D69" w:rsidR="008A0AD2" w:rsidRPr="007506C1" w:rsidRDefault="008A0AD2" w:rsidP="00A72F1B">
      <w:pPr>
        <w:spacing w:before="120" w:after="120"/>
        <w:rPr>
          <w:i/>
          <w:szCs w:val="22"/>
        </w:rPr>
      </w:pPr>
      <w:r>
        <w:rPr>
          <w:i/>
          <w:color w:val="000000"/>
          <w:szCs w:val="22"/>
        </w:rPr>
        <w:t xml:space="preserve">{Permitting Note:  </w:t>
      </w:r>
      <w:r w:rsidR="0084097B">
        <w:rPr>
          <w:i/>
          <w:color w:val="000000"/>
          <w:szCs w:val="22"/>
        </w:rPr>
        <w:t>These SI ICE are regulated under:  40 CFR 60, Subpart A, General Provisions, and 40 CFR 60, Subpart JJJJ, Standards of Performance for Stationary SI ICE, adopted by reference in Rule 62-204.800(8)(d) and (8</w:t>
      </w:r>
      <w:r w:rsidR="0084097B" w:rsidRPr="007506C1">
        <w:rPr>
          <w:i/>
          <w:color w:val="000000"/>
          <w:szCs w:val="22"/>
        </w:rPr>
        <w:t xml:space="preserve">)(b)83., F.A.C., respectively.  These </w:t>
      </w:r>
      <w:r w:rsidRPr="007506C1">
        <w:rPr>
          <w:i/>
          <w:szCs w:val="22"/>
        </w:rPr>
        <w:t xml:space="preserve">four-stroke </w:t>
      </w:r>
      <w:r w:rsidRPr="007506C1">
        <w:rPr>
          <w:i/>
          <w:color w:val="000000"/>
          <w:szCs w:val="22"/>
        </w:rPr>
        <w:t xml:space="preserve">SI ICE </w:t>
      </w:r>
      <w:r w:rsidR="0084097B" w:rsidRPr="007506C1">
        <w:rPr>
          <w:i/>
          <w:color w:val="000000"/>
          <w:szCs w:val="22"/>
        </w:rPr>
        <w:t xml:space="preserve">are </w:t>
      </w:r>
      <w:r w:rsidRPr="007506C1">
        <w:rPr>
          <w:i/>
          <w:color w:val="000000"/>
          <w:szCs w:val="22"/>
        </w:rPr>
        <w:t>regulated under</w:t>
      </w:r>
      <w:r w:rsidR="0084097B" w:rsidRPr="007506C1">
        <w:rPr>
          <w:i/>
          <w:color w:val="000000"/>
          <w:szCs w:val="22"/>
        </w:rPr>
        <w:t xml:space="preserve">: </w:t>
      </w:r>
      <w:r w:rsidRPr="007506C1">
        <w:rPr>
          <w:i/>
          <w:color w:val="000000"/>
          <w:szCs w:val="22"/>
        </w:rPr>
        <w:t xml:space="preserve"> </w:t>
      </w:r>
      <w:r w:rsidRPr="007506C1">
        <w:rPr>
          <w:i/>
          <w:szCs w:val="22"/>
        </w:rPr>
        <w:t>40 CFR Part 60</w:t>
      </w:r>
      <w:r w:rsidR="00083082" w:rsidRPr="007506C1">
        <w:rPr>
          <w:i/>
          <w:szCs w:val="22"/>
        </w:rPr>
        <w:t>, Subpart A, General Provisions, and , 40 CFR 60,</w:t>
      </w:r>
      <w:r w:rsidRPr="007506C1">
        <w:rPr>
          <w:i/>
          <w:szCs w:val="22"/>
        </w:rPr>
        <w:t xml:space="preserve"> Subpart JJJJ</w:t>
      </w:r>
      <w:r w:rsidR="00083082" w:rsidRPr="007506C1">
        <w:rPr>
          <w:i/>
          <w:szCs w:val="22"/>
        </w:rPr>
        <w:t>,</w:t>
      </w:r>
      <w:r w:rsidRPr="007506C1">
        <w:rPr>
          <w:i/>
          <w:szCs w:val="22"/>
        </w:rPr>
        <w:t xml:space="preserve"> Standards of Performance for Stationary Spark Ignition Internal Combustion Engines adopted by reference in </w:t>
      </w:r>
      <w:r w:rsidRPr="007506C1">
        <w:rPr>
          <w:i/>
          <w:color w:val="000000"/>
          <w:szCs w:val="22"/>
        </w:rPr>
        <w:t>Rule 62.204.800(8)</w:t>
      </w:r>
      <w:r w:rsidR="00083082" w:rsidRPr="007506C1">
        <w:rPr>
          <w:i/>
          <w:color w:val="000000"/>
          <w:szCs w:val="22"/>
        </w:rPr>
        <w:t>(d) and (8)</w:t>
      </w:r>
      <w:r w:rsidRPr="007506C1">
        <w:rPr>
          <w:i/>
          <w:color w:val="000000"/>
          <w:szCs w:val="22"/>
        </w:rPr>
        <w:t>(b)</w:t>
      </w:r>
      <w:r w:rsidR="00083082" w:rsidRPr="007506C1">
        <w:rPr>
          <w:i/>
          <w:color w:val="000000"/>
          <w:szCs w:val="22"/>
        </w:rPr>
        <w:t>83.</w:t>
      </w:r>
      <w:r w:rsidRPr="007506C1">
        <w:rPr>
          <w:i/>
          <w:color w:val="000000"/>
          <w:szCs w:val="22"/>
        </w:rPr>
        <w:t>, F.A.C</w:t>
      </w:r>
      <w:r w:rsidRPr="007506C1">
        <w:rPr>
          <w:i/>
          <w:szCs w:val="22"/>
        </w:rPr>
        <w:t>.</w:t>
      </w:r>
      <w:r w:rsidR="00083082" w:rsidRPr="007506C1">
        <w:rPr>
          <w:i/>
          <w:szCs w:val="22"/>
        </w:rPr>
        <w:t>, respectively.</w:t>
      </w:r>
      <w:r w:rsidRPr="007506C1">
        <w:rPr>
          <w:i/>
          <w:szCs w:val="22"/>
        </w:rPr>
        <w:t xml:space="preserve"> </w:t>
      </w:r>
      <w:r w:rsidRPr="007506C1">
        <w:rPr>
          <w:i/>
          <w:color w:val="000000"/>
          <w:szCs w:val="22"/>
        </w:rPr>
        <w:t xml:space="preserve"> </w:t>
      </w:r>
      <w:r w:rsidRPr="007506C1">
        <w:rPr>
          <w:i/>
          <w:szCs w:val="22"/>
        </w:rPr>
        <w:t>Pursuant to Subpart JJJJ, this is</w:t>
      </w:r>
      <w:r w:rsidRPr="007506C1">
        <w:rPr>
          <w:i/>
          <w:color w:val="000000"/>
          <w:szCs w:val="22"/>
        </w:rPr>
        <w:t xml:space="preserve"> “new” emergency stationary engines, with an engine power greater than 19 kW (25 HP) and less than 75 kW (100 HP), with a displacement of less than 10 liters per cylinder, and that are located at a major source of HAPs.  Construction commenced (ordered) on these engines after January 1, 2009.</w:t>
      </w:r>
      <w:r w:rsidR="00A72F1B" w:rsidRPr="007506C1">
        <w:rPr>
          <w:i/>
          <w:color w:val="000000"/>
          <w:szCs w:val="22"/>
        </w:rPr>
        <w:t xml:space="preserve">  </w:t>
      </w:r>
      <w:r w:rsidRPr="007506C1">
        <w:rPr>
          <w:i/>
          <w:color w:val="000000"/>
          <w:szCs w:val="22"/>
        </w:rPr>
        <w:t xml:space="preserve">Pursuant to Subpart ZZZZ, these are two “new” </w:t>
      </w:r>
      <w:r w:rsidRPr="007506C1">
        <w:rPr>
          <w:i/>
          <w:szCs w:val="22"/>
        </w:rPr>
        <w:t>four-stroke</w:t>
      </w:r>
      <w:r w:rsidRPr="007506C1">
        <w:rPr>
          <w:i/>
          <w:color w:val="000000"/>
          <w:szCs w:val="22"/>
        </w:rPr>
        <w:t xml:space="preserve"> emergency stationary SI RICE engines with a site rating of less than 250 brake HP located at a major source of HAP </w:t>
      </w:r>
      <w:r w:rsidRPr="007506C1">
        <w:rPr>
          <w:i/>
          <w:szCs w:val="22"/>
        </w:rPr>
        <w:t xml:space="preserve">that commenced construction after December 19, 2002.  </w:t>
      </w:r>
      <w:r w:rsidRPr="007506C1">
        <w:rPr>
          <w:i/>
          <w:color w:val="000000"/>
          <w:szCs w:val="22"/>
        </w:rPr>
        <w:t>In accordance with 40 CFR 63.6590(c) (3), these engines meet the requirements of Subpart ZZZZ by meeting the requirements of 40 CFR 60 Subpart JJJJ.</w:t>
      </w:r>
      <w:r w:rsidR="002F6D7F" w:rsidRPr="007506C1">
        <w:rPr>
          <w:i/>
          <w:color w:val="000000"/>
          <w:szCs w:val="22"/>
        </w:rPr>
        <w:t>}</w:t>
      </w:r>
      <w:r w:rsidRPr="007506C1">
        <w:rPr>
          <w:i/>
          <w:color w:val="000000"/>
          <w:szCs w:val="22"/>
        </w:rPr>
        <w:t xml:space="preserve">  </w:t>
      </w:r>
    </w:p>
    <w:p w14:paraId="3AE17D2E" w14:textId="1AC2EE53" w:rsidR="008A0AD2" w:rsidRPr="007506C1" w:rsidRDefault="002F6D7F" w:rsidP="008A0AD2">
      <w:pPr>
        <w:pStyle w:val="ListParagraph"/>
        <w:tabs>
          <w:tab w:val="left" w:pos="360"/>
          <w:tab w:val="left" w:pos="720"/>
          <w:tab w:val="left" w:pos="1080"/>
          <w:tab w:val="left" w:pos="1440"/>
        </w:tabs>
        <w:spacing w:before="120" w:after="120"/>
        <w:ind w:left="0"/>
        <w:contextualSpacing w:val="0"/>
        <w:rPr>
          <w:rStyle w:val="Hyperlink"/>
          <w:i/>
          <w:color w:val="auto"/>
          <w:u w:val="none"/>
        </w:rPr>
      </w:pPr>
      <w:r w:rsidRPr="007506C1">
        <w:rPr>
          <w:rStyle w:val="Hyperlink"/>
          <w:i/>
          <w:color w:val="auto"/>
          <w:u w:val="none"/>
        </w:rPr>
        <w:t>{Permitting Note:  EU No. 027 will be constructed along with the data center that it services near the end of the 2018 calendar year.}</w:t>
      </w:r>
    </w:p>
    <w:p w14:paraId="09008842" w14:textId="77777777" w:rsidR="005C5548" w:rsidRPr="005C5548" w:rsidRDefault="005C5548" w:rsidP="005C5548">
      <w:pPr>
        <w:spacing w:before="120" w:after="120"/>
        <w:rPr>
          <w:szCs w:val="22"/>
        </w:rPr>
      </w:pPr>
      <w:r w:rsidRPr="005C5548">
        <w:rPr>
          <w:b/>
          <w:szCs w:val="22"/>
          <w:u w:val="single"/>
        </w:rPr>
        <w:t>Essential Potential to Emit (PTE) Parameters</w:t>
      </w:r>
    </w:p>
    <w:p w14:paraId="3D8DF246" w14:textId="77777777" w:rsidR="00C75EEC" w:rsidRDefault="005C5548" w:rsidP="00C75EEC">
      <w:pPr>
        <w:numPr>
          <w:ilvl w:val="0"/>
          <w:numId w:val="123"/>
        </w:numPr>
        <w:tabs>
          <w:tab w:val="clear" w:pos="720"/>
        </w:tabs>
        <w:ind w:left="360" w:hanging="360"/>
        <w:rPr>
          <w:szCs w:val="22"/>
        </w:rPr>
      </w:pPr>
      <w:bookmarkStart w:id="264" w:name="_Hlk520799767"/>
      <w:r w:rsidRPr="005C5548">
        <w:rPr>
          <w:szCs w:val="22"/>
          <w:u w:val="single"/>
        </w:rPr>
        <w:t>Authorized Fuel</w:t>
      </w:r>
      <w:r w:rsidRPr="005C5548">
        <w:rPr>
          <w:szCs w:val="22"/>
        </w:rPr>
        <w:t xml:space="preserve">.  </w:t>
      </w:r>
    </w:p>
    <w:p w14:paraId="74780DFC" w14:textId="03355DF2" w:rsidR="005C5548" w:rsidRPr="007506C1" w:rsidRDefault="00C75EEC" w:rsidP="00C75EEC">
      <w:pPr>
        <w:pStyle w:val="ListParagraph"/>
        <w:numPr>
          <w:ilvl w:val="0"/>
          <w:numId w:val="132"/>
        </w:numPr>
        <w:spacing w:after="120"/>
        <w:rPr>
          <w:szCs w:val="22"/>
        </w:rPr>
      </w:pPr>
      <w:r w:rsidRPr="007506C1">
        <w:rPr>
          <w:i/>
          <w:szCs w:val="22"/>
        </w:rPr>
        <w:t>EU No. 024.</w:t>
      </w:r>
      <w:r w:rsidRPr="007506C1">
        <w:rPr>
          <w:szCs w:val="22"/>
        </w:rPr>
        <w:t xml:space="preserve">  EU No. 024 is </w:t>
      </w:r>
      <w:r w:rsidR="005C5548" w:rsidRPr="007506C1">
        <w:rPr>
          <w:szCs w:val="22"/>
        </w:rPr>
        <w:t xml:space="preserve">fueled by Natural Gas.  </w:t>
      </w:r>
      <w:r w:rsidR="005C5548" w:rsidRPr="007506C1">
        <w:t xml:space="preserve">This engine may be fired using propane for a maximum of 100 hours per year as an alternative fuel solely during emergency operations, but must keep records of such use.  If propane is used for more than 100 hours per year in an engine that is not certified to the emission standards when using propane, you are required to conduct a performance test to demonstrate compliance with the emission standards of Specific Conditions </w:t>
      </w:r>
      <w:r w:rsidRPr="007506C1">
        <w:rPr>
          <w:b/>
        </w:rPr>
        <w:fldChar w:fldCharType="begin"/>
      </w:r>
      <w:r w:rsidRPr="007506C1">
        <w:rPr>
          <w:b/>
        </w:rPr>
        <w:instrText xml:space="preserve"> REF _Ref520795229 \r \h  \* MERGEFORMAT </w:instrText>
      </w:r>
      <w:r w:rsidRPr="007506C1">
        <w:rPr>
          <w:b/>
        </w:rPr>
      </w:r>
      <w:r w:rsidRPr="007506C1">
        <w:rPr>
          <w:b/>
        </w:rPr>
        <w:fldChar w:fldCharType="separate"/>
      </w:r>
      <w:r w:rsidR="00D31800">
        <w:rPr>
          <w:b/>
        </w:rPr>
        <w:t xml:space="preserve">I.3. </w:t>
      </w:r>
      <w:r w:rsidRPr="007506C1">
        <w:rPr>
          <w:b/>
        </w:rPr>
        <w:fldChar w:fldCharType="end"/>
      </w:r>
      <w:r w:rsidR="007506C1" w:rsidRPr="007506C1">
        <w:t xml:space="preserve"> and </w:t>
      </w:r>
      <w:r w:rsidRPr="007506C1">
        <w:rPr>
          <w:b/>
        </w:rPr>
        <w:fldChar w:fldCharType="begin"/>
      </w:r>
      <w:r w:rsidRPr="007506C1">
        <w:rPr>
          <w:b/>
        </w:rPr>
        <w:instrText xml:space="preserve"> REF _Ref520795232 \r \h </w:instrText>
      </w:r>
      <w:r w:rsidR="00070B54" w:rsidRPr="007506C1">
        <w:rPr>
          <w:b/>
        </w:rPr>
        <w:instrText xml:space="preserve"> \* MERGEFORMAT </w:instrText>
      </w:r>
      <w:r w:rsidRPr="007506C1">
        <w:rPr>
          <w:b/>
        </w:rPr>
      </w:r>
      <w:r w:rsidRPr="007506C1">
        <w:rPr>
          <w:b/>
        </w:rPr>
        <w:fldChar w:fldCharType="separate"/>
      </w:r>
      <w:r w:rsidR="00D31800">
        <w:rPr>
          <w:b/>
        </w:rPr>
        <w:t xml:space="preserve">I.4. </w:t>
      </w:r>
      <w:r w:rsidRPr="007506C1">
        <w:rPr>
          <w:b/>
        </w:rPr>
        <w:fldChar w:fldCharType="end"/>
      </w:r>
      <w:r w:rsidRPr="007506C1">
        <w:t>.</w:t>
      </w:r>
      <w:r w:rsidR="005C5548" w:rsidRPr="007506C1">
        <w:rPr>
          <w:szCs w:val="22"/>
        </w:rPr>
        <w:t xml:space="preserve">  [40 CFR 60.4243(e) and Application No. 0850001-33-AV]</w:t>
      </w:r>
    </w:p>
    <w:p w14:paraId="2D217EA9" w14:textId="47780E32" w:rsidR="00C75EEC" w:rsidRPr="007506C1" w:rsidRDefault="00C75EEC" w:rsidP="00C75EEC">
      <w:pPr>
        <w:pStyle w:val="ListParagraph"/>
        <w:numPr>
          <w:ilvl w:val="0"/>
          <w:numId w:val="132"/>
        </w:numPr>
        <w:spacing w:after="120"/>
        <w:rPr>
          <w:szCs w:val="22"/>
          <w:u w:val="double"/>
        </w:rPr>
      </w:pPr>
      <w:r w:rsidRPr="007506C1">
        <w:rPr>
          <w:i/>
          <w:szCs w:val="22"/>
        </w:rPr>
        <w:t>EU No. 027.</w:t>
      </w:r>
      <w:r w:rsidRPr="007506C1">
        <w:rPr>
          <w:szCs w:val="22"/>
        </w:rPr>
        <w:t xml:space="preserve">  EU No. 027 is fueled by propane.  [Application No. 0850001-042-AV]</w:t>
      </w:r>
    </w:p>
    <w:p w14:paraId="3CBD7DB9" w14:textId="77777777" w:rsidR="005C5548" w:rsidRPr="005C5548" w:rsidRDefault="005C5548" w:rsidP="005C5548">
      <w:pPr>
        <w:numPr>
          <w:ilvl w:val="0"/>
          <w:numId w:val="123"/>
        </w:numPr>
        <w:tabs>
          <w:tab w:val="clear" w:pos="720"/>
        </w:tabs>
        <w:ind w:left="360" w:hanging="360"/>
        <w:rPr>
          <w:szCs w:val="22"/>
          <w:u w:val="single"/>
        </w:rPr>
      </w:pPr>
      <w:bookmarkStart w:id="265" w:name="_Hlk520799816"/>
      <w:bookmarkEnd w:id="264"/>
      <w:r w:rsidRPr="005C5548">
        <w:rPr>
          <w:szCs w:val="22"/>
          <w:u w:val="single"/>
        </w:rPr>
        <w:t>Restricted Hours of Operation</w:t>
      </w:r>
      <w:r w:rsidRPr="005C5548">
        <w:rPr>
          <w:szCs w:val="22"/>
        </w:rPr>
        <w:t>.  You must operate these emergency engines according to the requirements in paragraphs a. through d.  In order for these engines to be considered emergency stationary ICE under Subpart JJJJ, any operation other than emergency operation, maintenance and testing, emergency demand response, and operation in non-emergency situations for 50 hours per year, as described in the paragraphs below, is prohibited.  If you do not operate these engines according to the requirements in paragraphs a. through d. below, these engines will not be considered emergency engines and must meet all requirements for non-emergency engines pursuant to 40 CFR 60, Subpart JJJJ.  [40 CFR 60.4243(d)]</w:t>
      </w:r>
    </w:p>
    <w:p w14:paraId="4C8D01BD" w14:textId="77777777" w:rsidR="005C5548" w:rsidRPr="005C5548" w:rsidRDefault="005C5548" w:rsidP="005C5548">
      <w:pPr>
        <w:numPr>
          <w:ilvl w:val="0"/>
          <w:numId w:val="127"/>
        </w:numPr>
        <w:tabs>
          <w:tab w:val="left" w:pos="900"/>
        </w:tabs>
        <w:ind w:left="720"/>
        <w:rPr>
          <w:szCs w:val="22"/>
        </w:rPr>
      </w:pPr>
      <w:r w:rsidRPr="005C5548">
        <w:rPr>
          <w:i/>
          <w:szCs w:val="22"/>
        </w:rPr>
        <w:t>Emergency Situations</w:t>
      </w:r>
      <w:r w:rsidRPr="005C5548">
        <w:rPr>
          <w:szCs w:val="22"/>
        </w:rPr>
        <w:t xml:space="preserve">.  There is no time limit on the use of these engines in emergency situations.  [40 CFR 60.4243(d)(1)]  </w:t>
      </w:r>
    </w:p>
    <w:p w14:paraId="5888A034" w14:textId="77777777" w:rsidR="005C5548" w:rsidRPr="005C5548" w:rsidRDefault="005C5548" w:rsidP="005C5548">
      <w:pPr>
        <w:numPr>
          <w:ilvl w:val="0"/>
          <w:numId w:val="127"/>
        </w:numPr>
        <w:tabs>
          <w:tab w:val="left" w:pos="360"/>
          <w:tab w:val="left" w:pos="720"/>
          <w:tab w:val="left" w:pos="900"/>
        </w:tabs>
        <w:ind w:left="720"/>
        <w:rPr>
          <w:szCs w:val="22"/>
        </w:rPr>
      </w:pPr>
      <w:bookmarkStart w:id="266" w:name="_Ref520796412"/>
      <w:r w:rsidRPr="005C5548">
        <w:rPr>
          <w:i/>
          <w:szCs w:val="22"/>
        </w:rPr>
        <w:t>Non-Emergency Situations</w:t>
      </w:r>
      <w:r w:rsidRPr="005C5548">
        <w:rPr>
          <w:szCs w:val="22"/>
        </w:rPr>
        <w:t>.  You may operate these engines for any combination of the purposes specified in paragraphs (1) through (3) for a maximum of 100 hours per calendar year.  Any operation for non-emergency situations as allowed by paragraphs c. and d. below counts as part of the 100 hours per calendar year allowed.  [40 CFR 60.4243(d)(2)]</w:t>
      </w:r>
      <w:bookmarkEnd w:id="266"/>
      <w:r w:rsidRPr="005C5548">
        <w:rPr>
          <w:szCs w:val="22"/>
        </w:rPr>
        <w:t xml:space="preserve">  </w:t>
      </w:r>
    </w:p>
    <w:p w14:paraId="0C76BDFD" w14:textId="4545A0B2" w:rsidR="005C5548" w:rsidRPr="007506C1" w:rsidRDefault="005C5548" w:rsidP="005C5548">
      <w:pPr>
        <w:numPr>
          <w:ilvl w:val="0"/>
          <w:numId w:val="128"/>
        </w:numPr>
        <w:tabs>
          <w:tab w:val="left" w:pos="900"/>
        </w:tabs>
        <w:rPr>
          <w:szCs w:val="22"/>
        </w:rPr>
      </w:pPr>
      <w:r w:rsidRPr="007506C1">
        <w:rPr>
          <w:i/>
          <w:szCs w:val="22"/>
        </w:rPr>
        <w:t>Maintenance and Testing</w:t>
      </w:r>
      <w:r w:rsidRPr="007506C1">
        <w:rPr>
          <w:szCs w:val="22"/>
        </w:rPr>
        <w:t xml:space="preserve">.  Each engine is authorized to operate </w:t>
      </w:r>
      <w:r w:rsidR="003E1777" w:rsidRPr="007506C1">
        <w:rPr>
          <w:szCs w:val="22"/>
        </w:rPr>
        <w:t xml:space="preserve">for a maximum of 100 hours per calendar year </w:t>
      </w:r>
      <w:r w:rsidRPr="007506C1">
        <w:rPr>
          <w:szCs w:val="22"/>
        </w:rPr>
        <w:t>for the purpose of maintenance checks and readiness testing, provided that the tests are recommended by federal, state or local government, the manufacturer, the vendor, regional transmission organization or equivalent balancing authority and transmission operator, or the insurance company associated with the engine.  The owner or operator may petition the Administrator for approval of additional hours to be used for maintenance checks and readiness testing, but a petition is not required if the owner or operator maintains records indicating that Federal, State, or local standards require maintenance and testing of emergency ICE beyond 100 hours per year.  [40 CFR 60.4243(d)(2)(</w:t>
      </w:r>
      <w:proofErr w:type="spellStart"/>
      <w:r w:rsidRPr="007506C1">
        <w:rPr>
          <w:szCs w:val="22"/>
        </w:rPr>
        <w:t>i</w:t>
      </w:r>
      <w:proofErr w:type="spellEnd"/>
      <w:r w:rsidRPr="007506C1">
        <w:rPr>
          <w:szCs w:val="22"/>
        </w:rPr>
        <w:t>)]</w:t>
      </w:r>
    </w:p>
    <w:p w14:paraId="1F7DF901" w14:textId="0B27B026" w:rsidR="005C5548" w:rsidRPr="005C5548" w:rsidRDefault="005C5548" w:rsidP="005C5548">
      <w:pPr>
        <w:numPr>
          <w:ilvl w:val="0"/>
          <w:numId w:val="127"/>
        </w:numPr>
        <w:tabs>
          <w:tab w:val="left" w:pos="360"/>
          <w:tab w:val="left" w:pos="720"/>
        </w:tabs>
        <w:ind w:left="720"/>
        <w:rPr>
          <w:szCs w:val="22"/>
        </w:rPr>
      </w:pPr>
      <w:r w:rsidRPr="005C5548">
        <w:rPr>
          <w:i/>
          <w:szCs w:val="22"/>
        </w:rPr>
        <w:t>Other Non-emergency Situations</w:t>
      </w:r>
      <w:r w:rsidRPr="005C5548">
        <w:rPr>
          <w:szCs w:val="22"/>
        </w:rPr>
        <w:t xml:space="preserve">.  These engines may be operated for up to 50 hours per calendar year in nonemergency situations.  The 50 hours of operation in non-emergency situations are counted as part of the 100 hours per calendar year for maintenance and testing provided in paragraph </w:t>
      </w:r>
      <w:r w:rsidR="003E1777" w:rsidRPr="003E1777">
        <w:rPr>
          <w:b/>
          <w:szCs w:val="22"/>
        </w:rPr>
        <w:fldChar w:fldCharType="begin"/>
      </w:r>
      <w:r w:rsidR="003E1777" w:rsidRPr="003E1777">
        <w:rPr>
          <w:b/>
          <w:szCs w:val="22"/>
        </w:rPr>
        <w:instrText xml:space="preserve"> REF _Ref520796412 \r \h </w:instrText>
      </w:r>
      <w:r w:rsidR="003E1777">
        <w:rPr>
          <w:b/>
          <w:szCs w:val="22"/>
        </w:rPr>
        <w:instrText xml:space="preserve"> \* MERGEFORMAT </w:instrText>
      </w:r>
      <w:r w:rsidR="003E1777" w:rsidRPr="003E1777">
        <w:rPr>
          <w:b/>
          <w:szCs w:val="22"/>
        </w:rPr>
      </w:r>
      <w:r w:rsidR="003E1777" w:rsidRPr="003E1777">
        <w:rPr>
          <w:b/>
          <w:szCs w:val="22"/>
        </w:rPr>
        <w:fldChar w:fldCharType="separate"/>
      </w:r>
      <w:r w:rsidR="00D31800">
        <w:rPr>
          <w:b/>
          <w:szCs w:val="22"/>
        </w:rPr>
        <w:t>b</w:t>
      </w:r>
      <w:r w:rsidR="003E1777" w:rsidRPr="003E1777">
        <w:rPr>
          <w:b/>
          <w:szCs w:val="22"/>
        </w:rPr>
        <w:fldChar w:fldCharType="end"/>
      </w:r>
      <w:r w:rsidR="003E1777">
        <w:rPr>
          <w:szCs w:val="22"/>
        </w:rPr>
        <w:t xml:space="preserve"> </w:t>
      </w:r>
      <w:r w:rsidRPr="005C5548">
        <w:rPr>
          <w:szCs w:val="22"/>
        </w:rPr>
        <w:t>above.  Except as provided in paragraph d. below, the 50 hours per year for non-emergency situations cannot be used for peak shaving or non-emergency demand response, or to generate income for a facility to supply power to an electric grid or otherwise supply power as part of a financial arrangement with another entity.  [40 CFR 60.4243(d)(3)]</w:t>
      </w:r>
    </w:p>
    <w:p w14:paraId="3EC6714E" w14:textId="77777777" w:rsidR="005C5548" w:rsidRPr="005C5548" w:rsidRDefault="005C5548" w:rsidP="005C5548">
      <w:pPr>
        <w:numPr>
          <w:ilvl w:val="0"/>
          <w:numId w:val="127"/>
        </w:numPr>
        <w:tabs>
          <w:tab w:val="left" w:pos="360"/>
          <w:tab w:val="left" w:pos="720"/>
          <w:tab w:val="left" w:pos="900"/>
        </w:tabs>
        <w:ind w:left="720"/>
        <w:rPr>
          <w:szCs w:val="22"/>
        </w:rPr>
      </w:pPr>
      <w:r w:rsidRPr="005C5548">
        <w:rPr>
          <w:i/>
          <w:szCs w:val="22"/>
        </w:rPr>
        <w:t>Limited Non-emergency 50 hours Operation</w:t>
      </w:r>
      <w:r w:rsidRPr="005C5548">
        <w:rPr>
          <w:szCs w:val="22"/>
        </w:rPr>
        <w:t xml:space="preserve">.  The 50 hours per year for non-emergency situations can be used to supply power as part of a financial arrangement with another entity </w:t>
      </w:r>
      <w:r w:rsidRPr="005C5548">
        <w:rPr>
          <w:szCs w:val="22"/>
          <w:u w:val="single"/>
        </w:rPr>
        <w:t>if all</w:t>
      </w:r>
      <w:r w:rsidRPr="005C5548">
        <w:rPr>
          <w:szCs w:val="22"/>
        </w:rPr>
        <w:t xml:space="preserve"> of the following conditions are met:</w:t>
      </w:r>
    </w:p>
    <w:p w14:paraId="5DF5A449" w14:textId="77777777" w:rsidR="005C5548" w:rsidRPr="005C5548" w:rsidRDefault="005C5548" w:rsidP="005C5548">
      <w:pPr>
        <w:tabs>
          <w:tab w:val="left" w:pos="900"/>
          <w:tab w:val="left" w:pos="1800"/>
        </w:tabs>
        <w:ind w:left="1080" w:hanging="360"/>
        <w:rPr>
          <w:szCs w:val="22"/>
        </w:rPr>
      </w:pPr>
      <w:r w:rsidRPr="005C5548">
        <w:rPr>
          <w:szCs w:val="22"/>
        </w:rPr>
        <w:t>(1)</w:t>
      </w:r>
      <w:r w:rsidRPr="005C5548">
        <w:rPr>
          <w:szCs w:val="22"/>
        </w:rPr>
        <w:tab/>
        <w:t>The engine is dispatched by the local balancing authority or local transmission and distribution system operator.</w:t>
      </w:r>
    </w:p>
    <w:p w14:paraId="33AC7463" w14:textId="77777777" w:rsidR="005C5548" w:rsidRPr="005C5548" w:rsidRDefault="005C5548" w:rsidP="005C5548">
      <w:pPr>
        <w:tabs>
          <w:tab w:val="left" w:pos="900"/>
          <w:tab w:val="left" w:pos="1800"/>
        </w:tabs>
        <w:ind w:left="1080" w:hanging="360"/>
        <w:rPr>
          <w:szCs w:val="22"/>
        </w:rPr>
      </w:pPr>
      <w:r w:rsidRPr="005C5548">
        <w:rPr>
          <w:szCs w:val="22"/>
        </w:rPr>
        <w:t>(2)</w:t>
      </w:r>
      <w:r w:rsidRPr="005C5548">
        <w:rPr>
          <w:szCs w:val="22"/>
        </w:rPr>
        <w:tab/>
        <w:t>The dispatch is intended to mitigate local transmission and/or distribution limitations so as to avert potential voltage collapse or line overloads that could lead to the interruption of power supply in a local area or region.</w:t>
      </w:r>
    </w:p>
    <w:p w14:paraId="79F9DB12" w14:textId="77777777" w:rsidR="005C5548" w:rsidRPr="005C5548" w:rsidRDefault="005C5548" w:rsidP="005C5548">
      <w:pPr>
        <w:tabs>
          <w:tab w:val="left" w:pos="900"/>
          <w:tab w:val="left" w:pos="1800"/>
        </w:tabs>
        <w:ind w:left="1080" w:hanging="360"/>
        <w:rPr>
          <w:szCs w:val="22"/>
        </w:rPr>
      </w:pPr>
      <w:r w:rsidRPr="005C5548">
        <w:rPr>
          <w:szCs w:val="22"/>
        </w:rPr>
        <w:t>(3)</w:t>
      </w:r>
      <w:r w:rsidRPr="005C5548">
        <w:rPr>
          <w:szCs w:val="22"/>
        </w:rPr>
        <w:tab/>
        <w:t>The dispatch follows reliability, emergency operation or similar protocols that follow specific NERC, regional, state, public utility commission or local standards or guidelines.</w:t>
      </w:r>
    </w:p>
    <w:p w14:paraId="01562AF8" w14:textId="77777777" w:rsidR="005C5548" w:rsidRPr="005C5548" w:rsidRDefault="005C5548" w:rsidP="005C5548">
      <w:pPr>
        <w:tabs>
          <w:tab w:val="left" w:pos="900"/>
          <w:tab w:val="left" w:pos="1800"/>
        </w:tabs>
        <w:ind w:left="1080" w:hanging="360"/>
        <w:rPr>
          <w:szCs w:val="22"/>
        </w:rPr>
      </w:pPr>
      <w:r w:rsidRPr="005C5548">
        <w:rPr>
          <w:szCs w:val="22"/>
        </w:rPr>
        <w:t>(4)</w:t>
      </w:r>
      <w:r w:rsidRPr="005C5548">
        <w:rPr>
          <w:szCs w:val="22"/>
        </w:rPr>
        <w:tab/>
        <w:t>The power is provided only to the facility itself or to support the local transmission and distribution system.</w:t>
      </w:r>
    </w:p>
    <w:p w14:paraId="61BB0F15" w14:textId="77777777" w:rsidR="005C5548" w:rsidRPr="005C5548" w:rsidRDefault="005C5548" w:rsidP="005C5548">
      <w:pPr>
        <w:tabs>
          <w:tab w:val="left" w:pos="900"/>
          <w:tab w:val="left" w:pos="1800"/>
        </w:tabs>
        <w:ind w:left="1080" w:hanging="360"/>
        <w:rPr>
          <w:szCs w:val="22"/>
        </w:rPr>
      </w:pPr>
      <w:r w:rsidRPr="005C5548">
        <w:rPr>
          <w:szCs w:val="22"/>
        </w:rPr>
        <w:t>(5)</w:t>
      </w:r>
      <w:r w:rsidRPr="005C5548">
        <w:rPr>
          <w:szCs w:val="22"/>
        </w:rPr>
        <w:tab/>
        <w:t>The owner or operator identifies and records the entity that dispatches the engine and the specific NERC, regional, state, public utility commission or local standards or guidelines that are being followed for dispatching the engine.  The local balancing authority or local transmission and distribution system operator may keep these records on behalf of the engine owner or operator.</w:t>
      </w:r>
    </w:p>
    <w:p w14:paraId="603E922A" w14:textId="77777777" w:rsidR="005C5548" w:rsidRPr="005C5548" w:rsidRDefault="005C5548" w:rsidP="005C5548">
      <w:pPr>
        <w:tabs>
          <w:tab w:val="left" w:pos="900"/>
        </w:tabs>
        <w:ind w:left="720"/>
        <w:rPr>
          <w:szCs w:val="22"/>
        </w:rPr>
      </w:pPr>
      <w:r w:rsidRPr="005C5548">
        <w:rPr>
          <w:szCs w:val="22"/>
        </w:rPr>
        <w:t>[40 CFR 60.4243(d)(3)(</w:t>
      </w:r>
      <w:proofErr w:type="spellStart"/>
      <w:r w:rsidRPr="005C5548">
        <w:rPr>
          <w:szCs w:val="22"/>
        </w:rPr>
        <w:t>i</w:t>
      </w:r>
      <w:proofErr w:type="spellEnd"/>
      <w:r w:rsidRPr="005C5548">
        <w:rPr>
          <w:szCs w:val="22"/>
        </w:rPr>
        <w:t>)]</w:t>
      </w:r>
    </w:p>
    <w:bookmarkEnd w:id="265"/>
    <w:p w14:paraId="5B7A2C06" w14:textId="77777777" w:rsidR="005C5548" w:rsidRPr="005C5548" w:rsidRDefault="005C5548" w:rsidP="005C5548">
      <w:pPr>
        <w:tabs>
          <w:tab w:val="left" w:pos="0"/>
        </w:tabs>
        <w:suppressAutoHyphens/>
        <w:spacing w:before="120" w:after="120"/>
        <w:jc w:val="both"/>
        <w:rPr>
          <w:b/>
          <w:szCs w:val="22"/>
          <w:u w:val="single"/>
        </w:rPr>
      </w:pPr>
      <w:r w:rsidRPr="005C5548">
        <w:rPr>
          <w:b/>
          <w:szCs w:val="22"/>
          <w:u w:val="single"/>
        </w:rPr>
        <w:t>Emissions Standards</w:t>
      </w:r>
    </w:p>
    <w:p w14:paraId="78F7C90E" w14:textId="77777777" w:rsidR="005C5548" w:rsidRPr="005C5548" w:rsidRDefault="005C5548" w:rsidP="005C5548">
      <w:pPr>
        <w:numPr>
          <w:ilvl w:val="0"/>
          <w:numId w:val="123"/>
        </w:numPr>
        <w:tabs>
          <w:tab w:val="clear" w:pos="720"/>
        </w:tabs>
        <w:spacing w:after="120"/>
        <w:ind w:left="360" w:hanging="360"/>
        <w:rPr>
          <w:szCs w:val="22"/>
          <w:u w:val="single"/>
        </w:rPr>
      </w:pPr>
      <w:bookmarkStart w:id="267" w:name="_Ref520795229"/>
      <w:r w:rsidRPr="005C5548">
        <w:rPr>
          <w:szCs w:val="22"/>
          <w:u w:val="single"/>
        </w:rPr>
        <w:t>NO</w:t>
      </w:r>
      <w:r w:rsidRPr="005C5548">
        <w:rPr>
          <w:szCs w:val="22"/>
          <w:u w:val="single"/>
          <w:vertAlign w:val="subscript"/>
        </w:rPr>
        <w:t>X</w:t>
      </w:r>
      <w:r w:rsidRPr="005C5548">
        <w:rPr>
          <w:szCs w:val="22"/>
          <w:u w:val="single"/>
        </w:rPr>
        <w:t xml:space="preserve"> + HC Emissions</w:t>
      </w:r>
      <w:r w:rsidRPr="005C5548">
        <w:rPr>
          <w:szCs w:val="22"/>
        </w:rPr>
        <w:t>.  Emissions of NO</w:t>
      </w:r>
      <w:r w:rsidRPr="005C5548">
        <w:rPr>
          <w:szCs w:val="22"/>
          <w:vertAlign w:val="subscript"/>
        </w:rPr>
        <w:t>X</w:t>
      </w:r>
      <w:r w:rsidRPr="005C5548">
        <w:rPr>
          <w:szCs w:val="22"/>
        </w:rPr>
        <w:t xml:space="preserve"> plus hydrocarbons (HC) shall not exceed 10 grams per horse power hour (g/HP-hr).  [40 CFR 60.4233(d) and Table 1]</w:t>
      </w:r>
      <w:bookmarkEnd w:id="267"/>
    </w:p>
    <w:p w14:paraId="54E906FC" w14:textId="77777777" w:rsidR="005C5548" w:rsidRPr="005C5548" w:rsidRDefault="005C5548" w:rsidP="005C5548">
      <w:pPr>
        <w:numPr>
          <w:ilvl w:val="0"/>
          <w:numId w:val="123"/>
        </w:numPr>
        <w:tabs>
          <w:tab w:val="clear" w:pos="720"/>
        </w:tabs>
        <w:spacing w:after="120"/>
        <w:ind w:left="360" w:hanging="360"/>
        <w:rPr>
          <w:szCs w:val="22"/>
          <w:u w:val="single"/>
        </w:rPr>
      </w:pPr>
      <w:bookmarkStart w:id="268" w:name="_Ref520795232"/>
      <w:r w:rsidRPr="005C5548">
        <w:rPr>
          <w:szCs w:val="22"/>
          <w:u w:val="single"/>
        </w:rPr>
        <w:t>CO Emissions</w:t>
      </w:r>
      <w:r w:rsidRPr="005C5548">
        <w:rPr>
          <w:szCs w:val="22"/>
        </w:rPr>
        <w:t>.  Carbon monoxide (CO) emissions shall not exceed 387 g/HP-hr.  [40 CFR 60.4233(d) and Table 1]</w:t>
      </w:r>
      <w:bookmarkEnd w:id="268"/>
    </w:p>
    <w:p w14:paraId="0ABDD6C7" w14:textId="31822764" w:rsidR="005C5548" w:rsidRPr="005C5548" w:rsidRDefault="005C5548" w:rsidP="005C5548">
      <w:pPr>
        <w:numPr>
          <w:ilvl w:val="0"/>
          <w:numId w:val="123"/>
        </w:numPr>
        <w:tabs>
          <w:tab w:val="clear" w:pos="720"/>
        </w:tabs>
        <w:spacing w:after="120"/>
        <w:ind w:left="360" w:hanging="360"/>
        <w:rPr>
          <w:szCs w:val="22"/>
        </w:rPr>
      </w:pPr>
      <w:r w:rsidRPr="005C5548">
        <w:rPr>
          <w:szCs w:val="22"/>
          <w:u w:val="single"/>
        </w:rPr>
        <w:t>Emissions Standards Timeline</w:t>
      </w:r>
      <w:r w:rsidRPr="005C5548">
        <w:rPr>
          <w:szCs w:val="22"/>
        </w:rPr>
        <w:t xml:space="preserve">.  You must operate and maintain these engines to achieve the emission standards specified in </w:t>
      </w:r>
      <w:r w:rsidR="001F792C" w:rsidRPr="001F792C">
        <w:rPr>
          <w:b/>
          <w:szCs w:val="22"/>
        </w:rPr>
        <w:fldChar w:fldCharType="begin"/>
      </w:r>
      <w:r w:rsidR="001F792C" w:rsidRPr="001F792C">
        <w:rPr>
          <w:b/>
          <w:szCs w:val="22"/>
        </w:rPr>
        <w:instrText xml:space="preserve"> REF _Ref520795229 \r \h </w:instrText>
      </w:r>
      <w:r w:rsidR="001F792C">
        <w:rPr>
          <w:b/>
          <w:szCs w:val="22"/>
        </w:rPr>
        <w:instrText xml:space="preserve"> \* MERGEFORMAT </w:instrText>
      </w:r>
      <w:r w:rsidR="001F792C" w:rsidRPr="001F792C">
        <w:rPr>
          <w:b/>
          <w:szCs w:val="22"/>
        </w:rPr>
      </w:r>
      <w:r w:rsidR="001F792C" w:rsidRPr="001F792C">
        <w:rPr>
          <w:b/>
          <w:szCs w:val="22"/>
        </w:rPr>
        <w:fldChar w:fldCharType="separate"/>
      </w:r>
      <w:r w:rsidR="00D31800">
        <w:rPr>
          <w:b/>
          <w:szCs w:val="22"/>
        </w:rPr>
        <w:t xml:space="preserve">I.3. </w:t>
      </w:r>
      <w:r w:rsidR="001F792C" w:rsidRPr="001F792C">
        <w:rPr>
          <w:b/>
          <w:szCs w:val="22"/>
        </w:rPr>
        <w:fldChar w:fldCharType="end"/>
      </w:r>
      <w:r w:rsidR="001F792C">
        <w:rPr>
          <w:szCs w:val="22"/>
        </w:rPr>
        <w:t xml:space="preserve"> </w:t>
      </w:r>
      <w:r w:rsidRPr="005C5548">
        <w:rPr>
          <w:szCs w:val="22"/>
        </w:rPr>
        <w:t>and</w:t>
      </w:r>
      <w:r w:rsidR="001F792C">
        <w:rPr>
          <w:szCs w:val="22"/>
        </w:rPr>
        <w:t xml:space="preserve"> </w:t>
      </w:r>
      <w:r w:rsidR="001F792C" w:rsidRPr="001F792C">
        <w:rPr>
          <w:b/>
          <w:szCs w:val="22"/>
        </w:rPr>
        <w:fldChar w:fldCharType="begin"/>
      </w:r>
      <w:r w:rsidR="001F792C" w:rsidRPr="001F792C">
        <w:rPr>
          <w:b/>
          <w:szCs w:val="22"/>
        </w:rPr>
        <w:instrText xml:space="preserve"> REF _Ref520795232 \r \h </w:instrText>
      </w:r>
      <w:r w:rsidR="001F792C">
        <w:rPr>
          <w:b/>
          <w:szCs w:val="22"/>
        </w:rPr>
        <w:instrText xml:space="preserve"> \* MERGEFORMAT </w:instrText>
      </w:r>
      <w:r w:rsidR="001F792C" w:rsidRPr="001F792C">
        <w:rPr>
          <w:b/>
          <w:szCs w:val="22"/>
        </w:rPr>
      </w:r>
      <w:r w:rsidR="001F792C" w:rsidRPr="001F792C">
        <w:rPr>
          <w:b/>
          <w:szCs w:val="22"/>
        </w:rPr>
        <w:fldChar w:fldCharType="separate"/>
      </w:r>
      <w:r w:rsidR="00D31800">
        <w:rPr>
          <w:b/>
          <w:szCs w:val="22"/>
        </w:rPr>
        <w:t xml:space="preserve">I.4. </w:t>
      </w:r>
      <w:r w:rsidR="001F792C" w:rsidRPr="001F792C">
        <w:rPr>
          <w:b/>
          <w:szCs w:val="22"/>
        </w:rPr>
        <w:fldChar w:fldCharType="end"/>
      </w:r>
      <w:r w:rsidRPr="005C5548">
        <w:rPr>
          <w:szCs w:val="22"/>
        </w:rPr>
        <w:t xml:space="preserve"> over the entire life of the engine.  [40 CFR 60.4234]</w:t>
      </w:r>
    </w:p>
    <w:p w14:paraId="2FE552FB" w14:textId="77777777" w:rsidR="005C5548" w:rsidRPr="005C5548" w:rsidRDefault="005C5548" w:rsidP="005C5548">
      <w:pPr>
        <w:tabs>
          <w:tab w:val="left" w:pos="0"/>
        </w:tabs>
        <w:suppressAutoHyphens/>
        <w:spacing w:before="120" w:after="120"/>
        <w:jc w:val="both"/>
        <w:rPr>
          <w:b/>
          <w:szCs w:val="22"/>
          <w:u w:val="single"/>
        </w:rPr>
      </w:pPr>
      <w:r w:rsidRPr="005C5548">
        <w:rPr>
          <w:b/>
          <w:szCs w:val="22"/>
          <w:u w:val="single"/>
        </w:rPr>
        <w:t>Monitoring Requirements</w:t>
      </w:r>
    </w:p>
    <w:p w14:paraId="0BAD33FD" w14:textId="77777777" w:rsidR="005C5548" w:rsidRPr="005C5548" w:rsidRDefault="005C5548" w:rsidP="005C5548">
      <w:pPr>
        <w:numPr>
          <w:ilvl w:val="0"/>
          <w:numId w:val="123"/>
        </w:numPr>
        <w:tabs>
          <w:tab w:val="clear" w:pos="720"/>
        </w:tabs>
        <w:spacing w:after="120"/>
        <w:ind w:left="360" w:hanging="360"/>
        <w:rPr>
          <w:b/>
          <w:bCs/>
          <w:caps/>
          <w:szCs w:val="22"/>
        </w:rPr>
      </w:pPr>
      <w:r w:rsidRPr="005C5548">
        <w:rPr>
          <w:szCs w:val="22"/>
          <w:u w:val="single"/>
        </w:rPr>
        <w:t>Hour Meter</w:t>
      </w:r>
      <w:r w:rsidRPr="005C5548">
        <w:rPr>
          <w:szCs w:val="22"/>
        </w:rPr>
        <w:t>.  You must operate and maintain non-resettable hour meters on these engines.  [40 CFR 60.4237(c)]</w:t>
      </w:r>
    </w:p>
    <w:p w14:paraId="0EB02B5C" w14:textId="77777777" w:rsidR="005C5548" w:rsidRPr="005C5548" w:rsidRDefault="005C5548" w:rsidP="005C5548">
      <w:pPr>
        <w:tabs>
          <w:tab w:val="left" w:pos="0"/>
        </w:tabs>
        <w:suppressAutoHyphens/>
        <w:spacing w:before="120" w:after="120"/>
        <w:jc w:val="both"/>
        <w:rPr>
          <w:b/>
          <w:szCs w:val="22"/>
          <w:u w:val="single"/>
        </w:rPr>
      </w:pPr>
      <w:r w:rsidRPr="005C5548">
        <w:rPr>
          <w:b/>
          <w:szCs w:val="22"/>
          <w:u w:val="single"/>
        </w:rPr>
        <w:t>Testing and Compliance Requirements</w:t>
      </w:r>
    </w:p>
    <w:p w14:paraId="177C0F9D" w14:textId="5E35FB64" w:rsidR="005C5548" w:rsidRPr="005C5548" w:rsidRDefault="005C5548" w:rsidP="005C5548">
      <w:pPr>
        <w:numPr>
          <w:ilvl w:val="0"/>
          <w:numId w:val="123"/>
        </w:numPr>
        <w:tabs>
          <w:tab w:val="clear" w:pos="720"/>
        </w:tabs>
        <w:ind w:left="360" w:hanging="360"/>
        <w:rPr>
          <w:b/>
          <w:bCs/>
          <w:caps/>
          <w:szCs w:val="22"/>
        </w:rPr>
      </w:pPr>
      <w:bookmarkStart w:id="269" w:name="_Ref520799243"/>
      <w:r w:rsidRPr="005C5548">
        <w:rPr>
          <w:color w:val="000000"/>
          <w:szCs w:val="22"/>
          <w:u w:val="single"/>
        </w:rPr>
        <w:t>Compliance Requirements</w:t>
      </w:r>
      <w:r w:rsidRPr="005C5548">
        <w:rPr>
          <w:color w:val="000000"/>
          <w:szCs w:val="22"/>
        </w:rPr>
        <w:t xml:space="preserve">.  </w:t>
      </w:r>
      <w:r w:rsidRPr="005C5548">
        <w:rPr>
          <w:szCs w:val="22"/>
        </w:rPr>
        <w:t xml:space="preserve">You must demonstrate compliance with the emission standards specified in Conditions </w:t>
      </w:r>
      <w:r w:rsidR="006F5230" w:rsidRPr="001F792C">
        <w:rPr>
          <w:b/>
          <w:szCs w:val="22"/>
        </w:rPr>
        <w:fldChar w:fldCharType="begin"/>
      </w:r>
      <w:r w:rsidR="006F5230" w:rsidRPr="001F792C">
        <w:rPr>
          <w:b/>
          <w:szCs w:val="22"/>
        </w:rPr>
        <w:instrText xml:space="preserve"> REF _Ref520795229 \r \h </w:instrText>
      </w:r>
      <w:r w:rsidR="006F5230">
        <w:rPr>
          <w:b/>
          <w:szCs w:val="22"/>
        </w:rPr>
        <w:instrText xml:space="preserve"> \* MERGEFORMAT </w:instrText>
      </w:r>
      <w:r w:rsidR="006F5230" w:rsidRPr="001F792C">
        <w:rPr>
          <w:b/>
          <w:szCs w:val="22"/>
        </w:rPr>
      </w:r>
      <w:r w:rsidR="006F5230" w:rsidRPr="001F792C">
        <w:rPr>
          <w:b/>
          <w:szCs w:val="22"/>
        </w:rPr>
        <w:fldChar w:fldCharType="separate"/>
      </w:r>
      <w:r w:rsidR="00D31800">
        <w:rPr>
          <w:b/>
          <w:szCs w:val="22"/>
        </w:rPr>
        <w:t xml:space="preserve">I.3. </w:t>
      </w:r>
      <w:r w:rsidR="006F5230" w:rsidRPr="001F792C">
        <w:rPr>
          <w:b/>
          <w:szCs w:val="22"/>
        </w:rPr>
        <w:fldChar w:fldCharType="end"/>
      </w:r>
      <w:r w:rsidR="006F5230">
        <w:rPr>
          <w:szCs w:val="22"/>
        </w:rPr>
        <w:t xml:space="preserve"> </w:t>
      </w:r>
      <w:r w:rsidR="006F5230" w:rsidRPr="005C5548">
        <w:rPr>
          <w:szCs w:val="22"/>
        </w:rPr>
        <w:t>and</w:t>
      </w:r>
      <w:r w:rsidR="006F5230">
        <w:rPr>
          <w:szCs w:val="22"/>
        </w:rPr>
        <w:t xml:space="preserve"> </w:t>
      </w:r>
      <w:r w:rsidR="006F5230" w:rsidRPr="001F792C">
        <w:rPr>
          <w:b/>
          <w:szCs w:val="22"/>
        </w:rPr>
        <w:fldChar w:fldCharType="begin"/>
      </w:r>
      <w:r w:rsidR="006F5230" w:rsidRPr="001F792C">
        <w:rPr>
          <w:b/>
          <w:szCs w:val="22"/>
        </w:rPr>
        <w:instrText xml:space="preserve"> REF _Ref520795232 \r \h </w:instrText>
      </w:r>
      <w:r w:rsidR="006F5230">
        <w:rPr>
          <w:b/>
          <w:szCs w:val="22"/>
        </w:rPr>
        <w:instrText xml:space="preserve"> \* MERGEFORMAT </w:instrText>
      </w:r>
      <w:r w:rsidR="006F5230" w:rsidRPr="001F792C">
        <w:rPr>
          <w:b/>
          <w:szCs w:val="22"/>
        </w:rPr>
      </w:r>
      <w:r w:rsidR="006F5230" w:rsidRPr="001F792C">
        <w:rPr>
          <w:b/>
          <w:szCs w:val="22"/>
        </w:rPr>
        <w:fldChar w:fldCharType="separate"/>
      </w:r>
      <w:r w:rsidR="00D31800">
        <w:rPr>
          <w:b/>
          <w:szCs w:val="22"/>
        </w:rPr>
        <w:t xml:space="preserve">I.4. </w:t>
      </w:r>
      <w:r w:rsidR="006F5230" w:rsidRPr="001F792C">
        <w:rPr>
          <w:b/>
          <w:szCs w:val="22"/>
        </w:rPr>
        <w:fldChar w:fldCharType="end"/>
      </w:r>
      <w:r w:rsidRPr="005C5548">
        <w:rPr>
          <w:szCs w:val="22"/>
        </w:rPr>
        <w:t xml:space="preserve"> according to one of the following methods:  [40 CFR 60.4243(b)]</w:t>
      </w:r>
      <w:bookmarkEnd w:id="269"/>
    </w:p>
    <w:p w14:paraId="0D6FAD70" w14:textId="7127BDDD" w:rsidR="005C5548" w:rsidRPr="005C5548" w:rsidRDefault="005C5548" w:rsidP="005C5548">
      <w:pPr>
        <w:numPr>
          <w:ilvl w:val="1"/>
          <w:numId w:val="125"/>
        </w:numPr>
        <w:autoSpaceDE w:val="0"/>
        <w:autoSpaceDN w:val="0"/>
        <w:adjustRightInd w:val="0"/>
        <w:ind w:left="720"/>
        <w:rPr>
          <w:rFonts w:eastAsia="Calibri"/>
          <w:b/>
          <w:bCs/>
          <w:caps/>
          <w:szCs w:val="22"/>
        </w:rPr>
      </w:pPr>
      <w:r w:rsidRPr="005C5548">
        <w:rPr>
          <w:rFonts w:eastAsia="Calibri"/>
          <w:i/>
          <w:szCs w:val="22"/>
        </w:rPr>
        <w:t>Having Purchased a Certified Engine</w:t>
      </w:r>
      <w:r w:rsidRPr="005C5548">
        <w:rPr>
          <w:rFonts w:eastAsia="Calibri"/>
          <w:szCs w:val="22"/>
        </w:rPr>
        <w:t xml:space="preserve">.  If you purchased an engine certified to meet the emissions standards specified in Conditions </w:t>
      </w:r>
      <w:r w:rsidR="006F5230" w:rsidRPr="001F792C">
        <w:rPr>
          <w:b/>
          <w:szCs w:val="22"/>
        </w:rPr>
        <w:fldChar w:fldCharType="begin"/>
      </w:r>
      <w:r w:rsidR="006F5230" w:rsidRPr="001F792C">
        <w:rPr>
          <w:b/>
          <w:szCs w:val="22"/>
        </w:rPr>
        <w:instrText xml:space="preserve"> REF _Ref520795229 \r \h </w:instrText>
      </w:r>
      <w:r w:rsidR="006F5230">
        <w:rPr>
          <w:b/>
          <w:szCs w:val="22"/>
        </w:rPr>
        <w:instrText xml:space="preserve"> \* MERGEFORMAT </w:instrText>
      </w:r>
      <w:r w:rsidR="006F5230" w:rsidRPr="001F792C">
        <w:rPr>
          <w:b/>
          <w:szCs w:val="22"/>
        </w:rPr>
      </w:r>
      <w:r w:rsidR="006F5230" w:rsidRPr="001F792C">
        <w:rPr>
          <w:b/>
          <w:szCs w:val="22"/>
        </w:rPr>
        <w:fldChar w:fldCharType="separate"/>
      </w:r>
      <w:r w:rsidR="00D31800">
        <w:rPr>
          <w:b/>
          <w:szCs w:val="22"/>
        </w:rPr>
        <w:t xml:space="preserve">I.3. </w:t>
      </w:r>
      <w:r w:rsidR="006F5230" w:rsidRPr="001F792C">
        <w:rPr>
          <w:b/>
          <w:szCs w:val="22"/>
        </w:rPr>
        <w:fldChar w:fldCharType="end"/>
      </w:r>
      <w:r w:rsidR="006F5230">
        <w:rPr>
          <w:szCs w:val="22"/>
        </w:rPr>
        <w:t xml:space="preserve"> </w:t>
      </w:r>
      <w:r w:rsidR="006F5230" w:rsidRPr="005C5548">
        <w:rPr>
          <w:szCs w:val="22"/>
        </w:rPr>
        <w:t>and</w:t>
      </w:r>
      <w:r w:rsidR="006F5230">
        <w:rPr>
          <w:szCs w:val="22"/>
        </w:rPr>
        <w:t xml:space="preserve"> </w:t>
      </w:r>
      <w:r w:rsidR="006F5230" w:rsidRPr="001F792C">
        <w:rPr>
          <w:b/>
          <w:szCs w:val="22"/>
        </w:rPr>
        <w:fldChar w:fldCharType="begin"/>
      </w:r>
      <w:r w:rsidR="006F5230" w:rsidRPr="001F792C">
        <w:rPr>
          <w:b/>
          <w:szCs w:val="22"/>
        </w:rPr>
        <w:instrText xml:space="preserve"> REF _Ref520795232 \r \h </w:instrText>
      </w:r>
      <w:r w:rsidR="006F5230">
        <w:rPr>
          <w:b/>
          <w:szCs w:val="22"/>
        </w:rPr>
        <w:instrText xml:space="preserve"> \* MERGEFORMAT </w:instrText>
      </w:r>
      <w:r w:rsidR="006F5230" w:rsidRPr="001F792C">
        <w:rPr>
          <w:b/>
          <w:szCs w:val="22"/>
        </w:rPr>
      </w:r>
      <w:r w:rsidR="006F5230" w:rsidRPr="001F792C">
        <w:rPr>
          <w:b/>
          <w:szCs w:val="22"/>
        </w:rPr>
        <w:fldChar w:fldCharType="separate"/>
      </w:r>
      <w:r w:rsidR="00D31800">
        <w:rPr>
          <w:b/>
          <w:szCs w:val="22"/>
        </w:rPr>
        <w:t xml:space="preserve">I.4. </w:t>
      </w:r>
      <w:r w:rsidR="006F5230" w:rsidRPr="001F792C">
        <w:rPr>
          <w:b/>
          <w:szCs w:val="22"/>
        </w:rPr>
        <w:fldChar w:fldCharType="end"/>
      </w:r>
      <w:r w:rsidRPr="005C5548">
        <w:rPr>
          <w:rFonts w:eastAsia="Calibri"/>
          <w:szCs w:val="22"/>
        </w:rPr>
        <w:t xml:space="preserve">, you may demonstrate compliance according to the methods specified in paragraphs </w:t>
      </w:r>
      <w:proofErr w:type="gramStart"/>
      <w:r w:rsidRPr="005C5548">
        <w:rPr>
          <w:rFonts w:eastAsia="Calibri"/>
          <w:szCs w:val="22"/>
        </w:rPr>
        <w:t>a.(</w:t>
      </w:r>
      <w:proofErr w:type="gramEnd"/>
      <w:r w:rsidRPr="005C5548">
        <w:rPr>
          <w:rFonts w:eastAsia="Calibri"/>
          <w:szCs w:val="22"/>
        </w:rPr>
        <w:t xml:space="preserve">1) and a.(2), below.  [40 CFR </w:t>
      </w:r>
      <w:r w:rsidRPr="005C5548">
        <w:rPr>
          <w:rFonts w:eastAsia="Calibri"/>
          <w:bCs/>
          <w:caps/>
          <w:szCs w:val="22"/>
        </w:rPr>
        <w:t>60.4243(</w:t>
      </w:r>
      <w:r w:rsidRPr="005C5548">
        <w:rPr>
          <w:rFonts w:eastAsia="Calibri"/>
          <w:bCs/>
          <w:szCs w:val="22"/>
        </w:rPr>
        <w:t>a)</w:t>
      </w:r>
      <w:r w:rsidRPr="005C5548">
        <w:rPr>
          <w:rFonts w:eastAsia="Calibri"/>
          <w:szCs w:val="22"/>
        </w:rPr>
        <w:t>]</w:t>
      </w:r>
    </w:p>
    <w:p w14:paraId="105D6C65" w14:textId="77777777" w:rsidR="005C5548" w:rsidRPr="005C5548" w:rsidRDefault="005C5548" w:rsidP="005C5548">
      <w:pPr>
        <w:numPr>
          <w:ilvl w:val="0"/>
          <w:numId w:val="126"/>
        </w:numPr>
        <w:autoSpaceDE w:val="0"/>
        <w:autoSpaceDN w:val="0"/>
        <w:adjustRightInd w:val="0"/>
        <w:ind w:left="1080"/>
        <w:contextualSpacing/>
        <w:rPr>
          <w:rFonts w:eastAsia="Calibri"/>
          <w:szCs w:val="22"/>
        </w:rPr>
      </w:pPr>
      <w:r w:rsidRPr="005C5548">
        <w:rPr>
          <w:rFonts w:eastAsia="Calibri"/>
          <w:i/>
          <w:szCs w:val="22"/>
        </w:rPr>
        <w:t>Certified Engine Operated According to Manufacturer</w:t>
      </w:r>
      <w:r w:rsidRPr="005C5548">
        <w:rPr>
          <w:rFonts w:eastAsia="Calibri"/>
          <w:szCs w:val="22"/>
        </w:rPr>
        <w:t>.  If you operate and maintain the certified stationary SI internal combustion engine and control device according to the manufacturer's emission-related written instructions, you must keep records of conducted maintenance to demonstrate compliance, but no performance testing is required.  If you adjust engine settings according to and consistent with the manufacturer's instructions, your stationary SI internal combustion engine will not be considered out of compliance.  [40 CFR 60.4243(a)(1)]</w:t>
      </w:r>
    </w:p>
    <w:p w14:paraId="6B1415D6" w14:textId="77777777" w:rsidR="005C5548" w:rsidRPr="005C5548" w:rsidRDefault="005C5548" w:rsidP="005C5548">
      <w:pPr>
        <w:numPr>
          <w:ilvl w:val="0"/>
          <w:numId w:val="126"/>
        </w:numPr>
        <w:autoSpaceDE w:val="0"/>
        <w:autoSpaceDN w:val="0"/>
        <w:adjustRightInd w:val="0"/>
        <w:ind w:left="1080"/>
        <w:contextualSpacing/>
        <w:rPr>
          <w:rFonts w:eastAsia="Calibri"/>
          <w:szCs w:val="22"/>
        </w:rPr>
      </w:pPr>
      <w:r w:rsidRPr="005C5548">
        <w:rPr>
          <w:rFonts w:eastAsia="Calibri"/>
          <w:i/>
          <w:szCs w:val="22"/>
        </w:rPr>
        <w:t xml:space="preserve">Certified Engine Not Operated According to Manufacturer. </w:t>
      </w:r>
      <w:r w:rsidRPr="005C5548">
        <w:rPr>
          <w:rFonts w:eastAsia="Calibri"/>
          <w:szCs w:val="22"/>
        </w:rPr>
        <w:t xml:space="preserve"> If you </w:t>
      </w:r>
      <w:r w:rsidRPr="005C5548">
        <w:rPr>
          <w:rFonts w:eastAsia="Calibri"/>
          <w:szCs w:val="22"/>
          <w:u w:val="single"/>
        </w:rPr>
        <w:t>do not</w:t>
      </w:r>
      <w:r w:rsidRPr="005C5548">
        <w:rPr>
          <w:rFonts w:eastAsia="Calibri"/>
          <w:szCs w:val="22"/>
        </w:rPr>
        <w:t xml:space="preserve"> operate and maintain the certified stationary SI internal combustion engine and control device according to the manufacturer's emission-related written instructions, your engine will be considered a non-certified engine, and you must demonstrate compliance by keeping a maintenance plan and records of conducted maintenance to demonstrate compliance and must, to the extent practicable, maintain and operate the engine in a manner consistent with good air pollution control practice for minimizing emissions, but no performance testing is required.  [40 CFR 60.4243(a)(2) &amp; (2)(</w:t>
      </w:r>
      <w:proofErr w:type="spellStart"/>
      <w:r w:rsidRPr="005C5548">
        <w:rPr>
          <w:rFonts w:eastAsia="Calibri"/>
          <w:szCs w:val="22"/>
        </w:rPr>
        <w:t>i</w:t>
      </w:r>
      <w:proofErr w:type="spellEnd"/>
      <w:r w:rsidRPr="005C5548">
        <w:rPr>
          <w:rFonts w:eastAsia="Calibri"/>
          <w:szCs w:val="22"/>
        </w:rPr>
        <w:t>)]</w:t>
      </w:r>
    </w:p>
    <w:p w14:paraId="7C96A6F4" w14:textId="7D02C738" w:rsidR="005C5548" w:rsidRPr="005C5548" w:rsidRDefault="005C5548" w:rsidP="005C5548">
      <w:pPr>
        <w:numPr>
          <w:ilvl w:val="1"/>
          <w:numId w:val="125"/>
        </w:numPr>
        <w:autoSpaceDE w:val="0"/>
        <w:autoSpaceDN w:val="0"/>
        <w:adjustRightInd w:val="0"/>
        <w:ind w:left="720"/>
        <w:rPr>
          <w:rFonts w:eastAsia="Calibri"/>
          <w:b/>
          <w:bCs/>
          <w:caps/>
          <w:szCs w:val="22"/>
        </w:rPr>
      </w:pPr>
      <w:r w:rsidRPr="005C5548">
        <w:rPr>
          <w:rFonts w:eastAsia="Calibri"/>
          <w:i/>
          <w:szCs w:val="22"/>
        </w:rPr>
        <w:t>Having Purchased a Non–Certified Engine</w:t>
      </w:r>
      <w:r w:rsidRPr="005C5548">
        <w:rPr>
          <w:rFonts w:eastAsia="Calibri"/>
          <w:szCs w:val="22"/>
        </w:rPr>
        <w:t xml:space="preserve">.  If you purchased a non-certified engine or you do not operate and maintain your certified stationary SI internal combustion engine and control device according to the manufacturer's written emission-related instructions, you must conduct an initial test to demonstrate compliance with the emissions standards specified in Conditions </w:t>
      </w:r>
      <w:r w:rsidR="00637267" w:rsidRPr="001F792C">
        <w:rPr>
          <w:b/>
          <w:szCs w:val="22"/>
        </w:rPr>
        <w:fldChar w:fldCharType="begin"/>
      </w:r>
      <w:r w:rsidR="00637267" w:rsidRPr="001F792C">
        <w:rPr>
          <w:b/>
          <w:szCs w:val="22"/>
        </w:rPr>
        <w:instrText xml:space="preserve"> REF _Ref520795229 \r \h </w:instrText>
      </w:r>
      <w:r w:rsidR="00637267">
        <w:rPr>
          <w:b/>
          <w:szCs w:val="22"/>
        </w:rPr>
        <w:instrText xml:space="preserve"> \* MERGEFORMAT </w:instrText>
      </w:r>
      <w:r w:rsidR="00637267" w:rsidRPr="001F792C">
        <w:rPr>
          <w:b/>
          <w:szCs w:val="22"/>
        </w:rPr>
      </w:r>
      <w:r w:rsidR="00637267" w:rsidRPr="001F792C">
        <w:rPr>
          <w:b/>
          <w:szCs w:val="22"/>
        </w:rPr>
        <w:fldChar w:fldCharType="separate"/>
      </w:r>
      <w:r w:rsidR="00D31800">
        <w:rPr>
          <w:b/>
          <w:szCs w:val="22"/>
        </w:rPr>
        <w:t xml:space="preserve">I.3. </w:t>
      </w:r>
      <w:r w:rsidR="00637267" w:rsidRPr="001F792C">
        <w:rPr>
          <w:b/>
          <w:szCs w:val="22"/>
        </w:rPr>
        <w:fldChar w:fldCharType="end"/>
      </w:r>
      <w:r w:rsidR="00637267">
        <w:rPr>
          <w:szCs w:val="22"/>
        </w:rPr>
        <w:t xml:space="preserve"> </w:t>
      </w:r>
      <w:r w:rsidR="00637267" w:rsidRPr="005C5548">
        <w:rPr>
          <w:szCs w:val="22"/>
        </w:rPr>
        <w:t>and</w:t>
      </w:r>
      <w:r w:rsidR="00637267">
        <w:rPr>
          <w:szCs w:val="22"/>
        </w:rPr>
        <w:t xml:space="preserve"> </w:t>
      </w:r>
      <w:r w:rsidR="00637267" w:rsidRPr="001F792C">
        <w:rPr>
          <w:b/>
          <w:szCs w:val="22"/>
        </w:rPr>
        <w:fldChar w:fldCharType="begin"/>
      </w:r>
      <w:r w:rsidR="00637267" w:rsidRPr="001F792C">
        <w:rPr>
          <w:b/>
          <w:szCs w:val="22"/>
        </w:rPr>
        <w:instrText xml:space="preserve"> REF _Ref520795232 \r \h </w:instrText>
      </w:r>
      <w:r w:rsidR="00637267">
        <w:rPr>
          <w:b/>
          <w:szCs w:val="22"/>
        </w:rPr>
        <w:instrText xml:space="preserve"> \* MERGEFORMAT </w:instrText>
      </w:r>
      <w:r w:rsidR="00637267" w:rsidRPr="001F792C">
        <w:rPr>
          <w:b/>
          <w:szCs w:val="22"/>
        </w:rPr>
      </w:r>
      <w:r w:rsidR="00637267" w:rsidRPr="001F792C">
        <w:rPr>
          <w:b/>
          <w:szCs w:val="22"/>
        </w:rPr>
        <w:fldChar w:fldCharType="separate"/>
      </w:r>
      <w:r w:rsidR="00D31800">
        <w:rPr>
          <w:b/>
          <w:szCs w:val="22"/>
        </w:rPr>
        <w:t xml:space="preserve">I.4. </w:t>
      </w:r>
      <w:r w:rsidR="00637267" w:rsidRPr="001F792C">
        <w:rPr>
          <w:b/>
          <w:szCs w:val="22"/>
        </w:rPr>
        <w:fldChar w:fldCharType="end"/>
      </w:r>
      <w:r w:rsidRPr="005C5548">
        <w:rPr>
          <w:rFonts w:eastAsia="Calibri"/>
          <w:szCs w:val="22"/>
        </w:rPr>
        <w:t xml:space="preserve"> according to Specific Conditions</w:t>
      </w:r>
      <w:r w:rsidR="00637267">
        <w:rPr>
          <w:rFonts w:eastAsia="Calibri"/>
          <w:szCs w:val="22"/>
        </w:rPr>
        <w:t xml:space="preserve"> </w:t>
      </w:r>
      <w:r w:rsidR="00637267" w:rsidRPr="00637267">
        <w:rPr>
          <w:rFonts w:eastAsia="Calibri"/>
          <w:b/>
          <w:szCs w:val="22"/>
        </w:rPr>
        <w:fldChar w:fldCharType="begin"/>
      </w:r>
      <w:r w:rsidR="00637267" w:rsidRPr="00637267">
        <w:rPr>
          <w:rFonts w:eastAsia="Calibri"/>
          <w:b/>
          <w:szCs w:val="22"/>
        </w:rPr>
        <w:instrText xml:space="preserve"> REF _Ref520798758 \r \h </w:instrText>
      </w:r>
      <w:r w:rsidR="00637267">
        <w:rPr>
          <w:rFonts w:eastAsia="Calibri"/>
          <w:b/>
          <w:szCs w:val="22"/>
        </w:rPr>
        <w:instrText xml:space="preserve"> \* MERGEFORMAT </w:instrText>
      </w:r>
      <w:r w:rsidR="00637267" w:rsidRPr="00637267">
        <w:rPr>
          <w:rFonts w:eastAsia="Calibri"/>
          <w:b/>
          <w:szCs w:val="22"/>
        </w:rPr>
      </w:r>
      <w:r w:rsidR="00637267" w:rsidRPr="00637267">
        <w:rPr>
          <w:rFonts w:eastAsia="Calibri"/>
          <w:b/>
          <w:szCs w:val="22"/>
        </w:rPr>
        <w:fldChar w:fldCharType="separate"/>
      </w:r>
      <w:r w:rsidR="00D31800">
        <w:rPr>
          <w:rFonts w:eastAsia="Calibri"/>
          <w:b/>
          <w:szCs w:val="22"/>
        </w:rPr>
        <w:t xml:space="preserve">I.8. </w:t>
      </w:r>
      <w:r w:rsidR="00637267" w:rsidRPr="00637267">
        <w:rPr>
          <w:rFonts w:eastAsia="Calibri"/>
          <w:b/>
          <w:szCs w:val="22"/>
        </w:rPr>
        <w:fldChar w:fldCharType="end"/>
      </w:r>
      <w:r w:rsidR="00637267">
        <w:rPr>
          <w:rFonts w:eastAsia="Calibri"/>
          <w:szCs w:val="22"/>
        </w:rPr>
        <w:t xml:space="preserve"> and </w:t>
      </w:r>
      <w:r w:rsidR="00637267" w:rsidRPr="00637267">
        <w:rPr>
          <w:rFonts w:eastAsia="Calibri"/>
          <w:b/>
          <w:szCs w:val="22"/>
        </w:rPr>
        <w:fldChar w:fldCharType="begin"/>
      </w:r>
      <w:r w:rsidR="00637267" w:rsidRPr="00637267">
        <w:rPr>
          <w:rFonts w:eastAsia="Calibri"/>
          <w:b/>
          <w:szCs w:val="22"/>
        </w:rPr>
        <w:instrText xml:space="preserve"> REF _Ref520798763 \r \h </w:instrText>
      </w:r>
      <w:r w:rsidR="00637267">
        <w:rPr>
          <w:rFonts w:eastAsia="Calibri"/>
          <w:b/>
          <w:szCs w:val="22"/>
        </w:rPr>
        <w:instrText xml:space="preserve"> \* MERGEFORMAT </w:instrText>
      </w:r>
      <w:r w:rsidR="00637267" w:rsidRPr="00637267">
        <w:rPr>
          <w:rFonts w:eastAsia="Calibri"/>
          <w:b/>
          <w:szCs w:val="22"/>
        </w:rPr>
      </w:r>
      <w:r w:rsidR="00637267" w:rsidRPr="00637267">
        <w:rPr>
          <w:rFonts w:eastAsia="Calibri"/>
          <w:b/>
          <w:szCs w:val="22"/>
        </w:rPr>
        <w:fldChar w:fldCharType="separate"/>
      </w:r>
      <w:r w:rsidR="00D31800">
        <w:rPr>
          <w:rFonts w:eastAsia="Calibri"/>
          <w:b/>
          <w:szCs w:val="22"/>
        </w:rPr>
        <w:t xml:space="preserve">I.9. </w:t>
      </w:r>
      <w:r w:rsidR="00637267" w:rsidRPr="00637267">
        <w:rPr>
          <w:rFonts w:eastAsia="Calibri"/>
          <w:b/>
          <w:szCs w:val="22"/>
        </w:rPr>
        <w:fldChar w:fldCharType="end"/>
      </w:r>
      <w:r w:rsidRPr="005C5548">
        <w:rPr>
          <w:rFonts w:eastAsia="Calibri"/>
          <w:szCs w:val="22"/>
        </w:rPr>
        <w:t xml:space="preserve">, but you are not required to conduct subsequent performance testing unless the stationary engine is rebuilt or undergoes major repair or maintenance.  A rebuilt stationary SI ICE means an engine that has been rebuilt as that term is defined in 40 CFR 94.11(a).  In addition, you must keep a maintenance plan and records of conducted maintenance and must, to the extent practicable, maintain and operate the engine in a manner consistent with good air pollution control practice for minimizing emissions.  [40 CFR </w:t>
      </w:r>
      <w:r w:rsidRPr="005C5548">
        <w:rPr>
          <w:rFonts w:eastAsia="Calibri"/>
          <w:bCs/>
          <w:caps/>
          <w:szCs w:val="22"/>
        </w:rPr>
        <w:t>60.4243(</w:t>
      </w:r>
      <w:r w:rsidRPr="005C5548">
        <w:rPr>
          <w:rFonts w:eastAsia="Calibri"/>
          <w:bCs/>
          <w:szCs w:val="22"/>
        </w:rPr>
        <w:t>b)(2), (b)(2)(</w:t>
      </w:r>
      <w:proofErr w:type="spellStart"/>
      <w:r w:rsidRPr="005C5548">
        <w:rPr>
          <w:rFonts w:eastAsia="Calibri"/>
          <w:bCs/>
          <w:szCs w:val="22"/>
        </w:rPr>
        <w:t>i</w:t>
      </w:r>
      <w:proofErr w:type="spellEnd"/>
      <w:r w:rsidRPr="005C5548">
        <w:rPr>
          <w:rFonts w:eastAsia="Calibri"/>
          <w:bCs/>
          <w:szCs w:val="22"/>
        </w:rPr>
        <w:t>) &amp; (e)</w:t>
      </w:r>
      <w:r w:rsidRPr="005C5548">
        <w:rPr>
          <w:rFonts w:eastAsia="Calibri"/>
          <w:szCs w:val="22"/>
        </w:rPr>
        <w:t>]</w:t>
      </w:r>
    </w:p>
    <w:p w14:paraId="3A8FD45B" w14:textId="77777777" w:rsidR="005C5548" w:rsidRPr="005C5548" w:rsidRDefault="005C5548" w:rsidP="005C5548">
      <w:pPr>
        <w:autoSpaceDE w:val="0"/>
        <w:autoSpaceDN w:val="0"/>
        <w:adjustRightInd w:val="0"/>
        <w:spacing w:before="120" w:after="120"/>
        <w:rPr>
          <w:b/>
          <w:caps/>
          <w:szCs w:val="22"/>
        </w:rPr>
      </w:pPr>
      <w:r w:rsidRPr="005C5548">
        <w:rPr>
          <w:b/>
          <w:szCs w:val="22"/>
          <w:u w:val="single"/>
        </w:rPr>
        <w:t>Testing Requirements</w:t>
      </w:r>
    </w:p>
    <w:p w14:paraId="3AD26852" w14:textId="77777777" w:rsidR="005C5548" w:rsidRPr="005C5548" w:rsidRDefault="005C5548" w:rsidP="005C5548">
      <w:pPr>
        <w:numPr>
          <w:ilvl w:val="0"/>
          <w:numId w:val="123"/>
        </w:numPr>
        <w:tabs>
          <w:tab w:val="clear" w:pos="720"/>
        </w:tabs>
        <w:ind w:left="360" w:hanging="360"/>
        <w:rPr>
          <w:b/>
          <w:bCs/>
          <w:caps/>
          <w:szCs w:val="22"/>
        </w:rPr>
      </w:pPr>
      <w:bookmarkStart w:id="270" w:name="_Ref520798758"/>
      <w:r w:rsidRPr="005C5548">
        <w:rPr>
          <w:szCs w:val="22"/>
          <w:u w:val="single"/>
        </w:rPr>
        <w:t>Test Procedures</w:t>
      </w:r>
      <w:r w:rsidRPr="005C5548">
        <w:rPr>
          <w:szCs w:val="22"/>
        </w:rPr>
        <w:t>:  When required, performance tests must follow the procedures below.</w:t>
      </w:r>
      <w:bookmarkEnd w:id="270"/>
    </w:p>
    <w:p w14:paraId="34F8F3A5" w14:textId="4C70B8AD" w:rsidR="005C5548" w:rsidRPr="005C5548" w:rsidRDefault="005C5548" w:rsidP="005C5548">
      <w:pPr>
        <w:numPr>
          <w:ilvl w:val="0"/>
          <w:numId w:val="124"/>
        </w:numPr>
        <w:ind w:left="720"/>
        <w:rPr>
          <w:szCs w:val="22"/>
        </w:rPr>
      </w:pPr>
      <w:r w:rsidRPr="005C5548">
        <w:rPr>
          <w:szCs w:val="22"/>
        </w:rPr>
        <w:t xml:space="preserve">Each performance test must be conducted within 10 percent of 100 percent peak (or the highest achievable) load and according to the requirements in 40 CFR 60.8 and Specific Condition </w:t>
      </w:r>
      <w:r w:rsidR="00637267" w:rsidRPr="00637267">
        <w:rPr>
          <w:rFonts w:eastAsia="Calibri"/>
          <w:b/>
          <w:szCs w:val="22"/>
        </w:rPr>
        <w:fldChar w:fldCharType="begin"/>
      </w:r>
      <w:r w:rsidR="00637267" w:rsidRPr="00637267">
        <w:rPr>
          <w:rFonts w:eastAsia="Calibri"/>
          <w:b/>
          <w:szCs w:val="22"/>
        </w:rPr>
        <w:instrText xml:space="preserve"> REF _Ref520798763 \r \h </w:instrText>
      </w:r>
      <w:r w:rsidR="00637267">
        <w:rPr>
          <w:rFonts w:eastAsia="Calibri"/>
          <w:b/>
          <w:szCs w:val="22"/>
        </w:rPr>
        <w:instrText xml:space="preserve"> \* MERGEFORMAT </w:instrText>
      </w:r>
      <w:r w:rsidR="00637267" w:rsidRPr="00637267">
        <w:rPr>
          <w:rFonts w:eastAsia="Calibri"/>
          <w:b/>
          <w:szCs w:val="22"/>
        </w:rPr>
      </w:r>
      <w:r w:rsidR="00637267" w:rsidRPr="00637267">
        <w:rPr>
          <w:rFonts w:eastAsia="Calibri"/>
          <w:b/>
          <w:szCs w:val="22"/>
        </w:rPr>
        <w:fldChar w:fldCharType="separate"/>
      </w:r>
      <w:r w:rsidR="00D31800">
        <w:rPr>
          <w:rFonts w:eastAsia="Calibri"/>
          <w:b/>
          <w:szCs w:val="22"/>
        </w:rPr>
        <w:t xml:space="preserve">I.9. </w:t>
      </w:r>
      <w:r w:rsidR="00637267" w:rsidRPr="00637267">
        <w:rPr>
          <w:rFonts w:eastAsia="Calibri"/>
          <w:b/>
          <w:szCs w:val="22"/>
        </w:rPr>
        <w:fldChar w:fldCharType="end"/>
      </w:r>
      <w:r w:rsidR="00637267" w:rsidRPr="00637267">
        <w:rPr>
          <w:rFonts w:eastAsia="Calibri"/>
          <w:szCs w:val="22"/>
        </w:rPr>
        <w:t>.</w:t>
      </w:r>
      <w:r w:rsidRPr="005C5548">
        <w:rPr>
          <w:szCs w:val="22"/>
        </w:rPr>
        <w:t xml:space="preserve">  </w:t>
      </w:r>
    </w:p>
    <w:p w14:paraId="4DA7E352" w14:textId="77777777" w:rsidR="005C5548" w:rsidRPr="005C5548" w:rsidRDefault="005C5548" w:rsidP="005C5548">
      <w:pPr>
        <w:numPr>
          <w:ilvl w:val="0"/>
          <w:numId w:val="124"/>
        </w:numPr>
        <w:ind w:left="720"/>
        <w:rPr>
          <w:szCs w:val="22"/>
        </w:rPr>
      </w:pPr>
      <w:r w:rsidRPr="005C5548">
        <w:rPr>
          <w:szCs w:val="22"/>
        </w:rPr>
        <w:t>Performance tests during periods of startup, shutdown, or malfunction are not allowed, as specified in 40 CFR 60.8(c).  If the engine is non-operational, it is not necessary to startup the engine solely to conduct a performance test; however, the performance test must be conducted immediately upon startup of the engine.</w:t>
      </w:r>
    </w:p>
    <w:p w14:paraId="3CC8AD96" w14:textId="77777777" w:rsidR="005C5548" w:rsidRPr="005C5548" w:rsidRDefault="005C5548" w:rsidP="005C5548">
      <w:pPr>
        <w:numPr>
          <w:ilvl w:val="0"/>
          <w:numId w:val="124"/>
        </w:numPr>
        <w:ind w:left="720"/>
        <w:rPr>
          <w:szCs w:val="22"/>
        </w:rPr>
      </w:pPr>
      <w:r w:rsidRPr="005C5548">
        <w:rPr>
          <w:szCs w:val="22"/>
        </w:rPr>
        <w:t>Three separate test runs must be conducted for each performance test required, as specified in 40 CFR 60.8(f).  Each test run must be conducted within 10 percent of 100 percent peak (or the highest achievable) load and last at least 1 hour.</w:t>
      </w:r>
    </w:p>
    <w:p w14:paraId="79B82370" w14:textId="77777777" w:rsidR="005C5548" w:rsidRPr="005C5548" w:rsidRDefault="005C5548" w:rsidP="005C5548">
      <w:pPr>
        <w:numPr>
          <w:ilvl w:val="0"/>
          <w:numId w:val="124"/>
        </w:numPr>
        <w:ind w:left="720"/>
        <w:rPr>
          <w:szCs w:val="22"/>
        </w:rPr>
      </w:pPr>
      <w:r w:rsidRPr="005C5548">
        <w:rPr>
          <w:szCs w:val="22"/>
        </w:rPr>
        <w:t>To determine compliance with the NO</w:t>
      </w:r>
      <w:r w:rsidRPr="005C5548">
        <w:rPr>
          <w:szCs w:val="22"/>
          <w:vertAlign w:val="subscript"/>
        </w:rPr>
        <w:t xml:space="preserve">X </w:t>
      </w:r>
      <w:r w:rsidRPr="005C5548">
        <w:rPr>
          <w:szCs w:val="22"/>
        </w:rPr>
        <w:t>mass per unit output emission limitation, the concentration of NO</w:t>
      </w:r>
      <w:r w:rsidRPr="005C5548">
        <w:rPr>
          <w:szCs w:val="22"/>
          <w:vertAlign w:val="subscript"/>
        </w:rPr>
        <w:t>X</w:t>
      </w:r>
      <w:r w:rsidRPr="005C5548">
        <w:rPr>
          <w:szCs w:val="22"/>
        </w:rPr>
        <w:t xml:space="preserve"> in the engine exhaust should be converted using Equation 1, below:</w:t>
      </w:r>
    </w:p>
    <w:p w14:paraId="283478A0" w14:textId="77777777" w:rsidR="005C5548" w:rsidRPr="005C5548" w:rsidRDefault="005C5548" w:rsidP="005C5548">
      <w:pPr>
        <w:jc w:val="center"/>
        <w:rPr>
          <w:szCs w:val="22"/>
        </w:rPr>
      </w:pPr>
      <w:r w:rsidRPr="005C5548">
        <w:rPr>
          <w:noProof/>
          <w:szCs w:val="22"/>
        </w:rPr>
        <w:drawing>
          <wp:inline distT="0" distB="0" distL="0" distR="0" wp14:anchorId="54256A10" wp14:editId="3A62BD28">
            <wp:extent cx="2403475" cy="351790"/>
            <wp:effectExtent l="19050" t="0" r="0" b="0"/>
            <wp:docPr id="3" name="Picture 1" descr="er18ja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r18ja08"/>
                    <pic:cNvPicPr>
                      <a:picLocks noChangeAspect="1" noChangeArrowheads="1"/>
                    </pic:cNvPicPr>
                  </pic:nvPicPr>
                  <pic:blipFill>
                    <a:blip r:embed="rId79" cstate="print"/>
                    <a:srcRect/>
                    <a:stretch>
                      <a:fillRect/>
                    </a:stretch>
                  </pic:blipFill>
                  <pic:spPr bwMode="auto">
                    <a:xfrm>
                      <a:off x="0" y="0"/>
                      <a:ext cx="2403475" cy="351790"/>
                    </a:xfrm>
                    <a:prstGeom prst="rect">
                      <a:avLst/>
                    </a:prstGeom>
                    <a:noFill/>
                    <a:ln w="9525">
                      <a:noFill/>
                      <a:miter lim="800000"/>
                      <a:headEnd/>
                      <a:tailEnd/>
                    </a:ln>
                  </pic:spPr>
                </pic:pic>
              </a:graphicData>
            </a:graphic>
          </wp:inline>
        </w:drawing>
      </w:r>
    </w:p>
    <w:p w14:paraId="00044C33" w14:textId="77777777" w:rsidR="005C5548" w:rsidRPr="005C5548" w:rsidRDefault="005C5548" w:rsidP="005C5548">
      <w:pPr>
        <w:ind w:left="1080"/>
        <w:rPr>
          <w:szCs w:val="22"/>
        </w:rPr>
      </w:pPr>
      <w:r w:rsidRPr="005C5548">
        <w:rPr>
          <w:szCs w:val="22"/>
        </w:rPr>
        <w:t>Where:</w:t>
      </w:r>
    </w:p>
    <w:p w14:paraId="3FEBEB3D" w14:textId="77777777" w:rsidR="005C5548" w:rsidRPr="005C5548" w:rsidRDefault="005C5548" w:rsidP="005C5548">
      <w:pPr>
        <w:ind w:left="1800" w:hanging="360"/>
        <w:rPr>
          <w:szCs w:val="22"/>
        </w:rPr>
      </w:pPr>
      <w:r w:rsidRPr="005C5548">
        <w:rPr>
          <w:szCs w:val="22"/>
        </w:rPr>
        <w:t>ER  =  Emission rate of NO</w:t>
      </w:r>
      <w:r w:rsidRPr="005C5548">
        <w:rPr>
          <w:szCs w:val="22"/>
          <w:vertAlign w:val="subscript"/>
        </w:rPr>
        <w:t xml:space="preserve">X </w:t>
      </w:r>
      <w:r w:rsidRPr="005C5548">
        <w:rPr>
          <w:szCs w:val="22"/>
        </w:rPr>
        <w:t>in g/HP-hr.</w:t>
      </w:r>
    </w:p>
    <w:p w14:paraId="58AC4B2B" w14:textId="77777777" w:rsidR="005C5548" w:rsidRPr="005C5548" w:rsidRDefault="005C5548" w:rsidP="005C5548">
      <w:pPr>
        <w:ind w:left="1800" w:hanging="360"/>
        <w:rPr>
          <w:szCs w:val="22"/>
        </w:rPr>
      </w:pPr>
      <w:r w:rsidRPr="005C5548">
        <w:rPr>
          <w:szCs w:val="22"/>
        </w:rPr>
        <w:t>C</w:t>
      </w:r>
      <w:r w:rsidRPr="005C5548">
        <w:rPr>
          <w:szCs w:val="22"/>
          <w:vertAlign w:val="subscript"/>
        </w:rPr>
        <w:t>d</w:t>
      </w:r>
      <w:r w:rsidRPr="005C5548">
        <w:rPr>
          <w:szCs w:val="22"/>
        </w:rPr>
        <w:t xml:space="preserve">  =  Measured NO</w:t>
      </w:r>
      <w:r w:rsidRPr="005C5548">
        <w:rPr>
          <w:szCs w:val="22"/>
          <w:vertAlign w:val="subscript"/>
        </w:rPr>
        <w:t xml:space="preserve">X </w:t>
      </w:r>
      <w:r w:rsidRPr="005C5548">
        <w:rPr>
          <w:szCs w:val="22"/>
        </w:rPr>
        <w:t>concentration in parts per million by volume (ppmv).</w:t>
      </w:r>
    </w:p>
    <w:p w14:paraId="64CC8750" w14:textId="77777777" w:rsidR="005C5548" w:rsidRPr="005C5548" w:rsidRDefault="005C5548" w:rsidP="005C5548">
      <w:pPr>
        <w:ind w:left="2790" w:hanging="1350"/>
        <w:rPr>
          <w:szCs w:val="22"/>
        </w:rPr>
      </w:pPr>
      <w:r w:rsidRPr="005C5548">
        <w:rPr>
          <w:szCs w:val="22"/>
        </w:rPr>
        <w:t>1.912×10</w:t>
      </w:r>
      <w:r w:rsidRPr="005C5548">
        <w:rPr>
          <w:szCs w:val="22"/>
          <w:vertAlign w:val="superscript"/>
        </w:rPr>
        <w:t>−3</w:t>
      </w:r>
      <w:r w:rsidRPr="005C5548">
        <w:rPr>
          <w:szCs w:val="22"/>
        </w:rPr>
        <w:t xml:space="preserve">  =  Conversion constant for ppm NO</w:t>
      </w:r>
      <w:r w:rsidRPr="005C5548">
        <w:rPr>
          <w:szCs w:val="22"/>
          <w:vertAlign w:val="subscript"/>
        </w:rPr>
        <w:t xml:space="preserve">X </w:t>
      </w:r>
      <w:r w:rsidRPr="005C5548">
        <w:rPr>
          <w:szCs w:val="22"/>
        </w:rPr>
        <w:t>to grams per standard cubic meter at 20 degrees Celsius.</w:t>
      </w:r>
    </w:p>
    <w:p w14:paraId="156FE7F9" w14:textId="77777777" w:rsidR="005C5548" w:rsidRPr="005C5548" w:rsidRDefault="005C5548" w:rsidP="005C5548">
      <w:pPr>
        <w:ind w:left="1800" w:hanging="360"/>
        <w:rPr>
          <w:szCs w:val="22"/>
        </w:rPr>
      </w:pPr>
      <w:r w:rsidRPr="005C5548">
        <w:rPr>
          <w:szCs w:val="22"/>
        </w:rPr>
        <w:t>Q  =  Stack gas volumetric flow rate, in standard cubic meter per hour, dry basis.</w:t>
      </w:r>
    </w:p>
    <w:p w14:paraId="0123021E" w14:textId="77777777" w:rsidR="005C5548" w:rsidRPr="005C5548" w:rsidRDefault="005C5548" w:rsidP="005C5548">
      <w:pPr>
        <w:ind w:left="1800" w:hanging="360"/>
        <w:rPr>
          <w:szCs w:val="22"/>
        </w:rPr>
      </w:pPr>
      <w:r w:rsidRPr="005C5548">
        <w:rPr>
          <w:szCs w:val="22"/>
        </w:rPr>
        <w:t>T  =  Time of test run, in hours.</w:t>
      </w:r>
    </w:p>
    <w:p w14:paraId="3714F764" w14:textId="77777777" w:rsidR="005C5548" w:rsidRPr="005C5548" w:rsidRDefault="005C5548" w:rsidP="005C5548">
      <w:pPr>
        <w:ind w:left="1800" w:hanging="360"/>
        <w:rPr>
          <w:szCs w:val="22"/>
        </w:rPr>
      </w:pPr>
      <w:r w:rsidRPr="005C5548">
        <w:rPr>
          <w:szCs w:val="22"/>
        </w:rPr>
        <w:t>HP-hr  =  Brake work of the engine, horsepower-hour (HP-hr).</w:t>
      </w:r>
    </w:p>
    <w:p w14:paraId="3A637D8A" w14:textId="77777777" w:rsidR="005C5548" w:rsidRPr="005C5548" w:rsidRDefault="005C5548" w:rsidP="005C5548">
      <w:pPr>
        <w:numPr>
          <w:ilvl w:val="0"/>
          <w:numId w:val="124"/>
        </w:numPr>
        <w:ind w:left="720"/>
        <w:rPr>
          <w:szCs w:val="22"/>
        </w:rPr>
      </w:pPr>
      <w:r w:rsidRPr="005C5548">
        <w:rPr>
          <w:szCs w:val="22"/>
        </w:rPr>
        <w:t xml:space="preserve">To determine compliance with the </w:t>
      </w:r>
      <w:r w:rsidRPr="005C5548">
        <w:rPr>
          <w:b/>
          <w:szCs w:val="22"/>
        </w:rPr>
        <w:t>CO</w:t>
      </w:r>
      <w:r w:rsidRPr="005C5548">
        <w:rPr>
          <w:szCs w:val="22"/>
        </w:rPr>
        <w:t xml:space="preserve"> mass per unit output emission limitation, the concentration of CO in the engine exhaust should be converted using Equation 2, below:</w:t>
      </w:r>
    </w:p>
    <w:p w14:paraId="15D3DDA5" w14:textId="77777777" w:rsidR="005C5548" w:rsidRPr="005C5548" w:rsidRDefault="005C5548" w:rsidP="005C5548">
      <w:pPr>
        <w:jc w:val="center"/>
        <w:rPr>
          <w:szCs w:val="22"/>
        </w:rPr>
      </w:pPr>
      <w:r w:rsidRPr="005C5548">
        <w:rPr>
          <w:noProof/>
          <w:szCs w:val="22"/>
        </w:rPr>
        <w:drawing>
          <wp:inline distT="0" distB="0" distL="0" distR="0" wp14:anchorId="78FF7D19" wp14:editId="7C6F128D">
            <wp:extent cx="2403475" cy="351790"/>
            <wp:effectExtent l="19050" t="0" r="0" b="0"/>
            <wp:docPr id="1" name="Picture 2" descr="er18ja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r18ja08"/>
                    <pic:cNvPicPr>
                      <a:picLocks noChangeAspect="1" noChangeArrowheads="1"/>
                    </pic:cNvPicPr>
                  </pic:nvPicPr>
                  <pic:blipFill>
                    <a:blip r:embed="rId80" cstate="print"/>
                    <a:srcRect/>
                    <a:stretch>
                      <a:fillRect/>
                    </a:stretch>
                  </pic:blipFill>
                  <pic:spPr bwMode="auto">
                    <a:xfrm>
                      <a:off x="0" y="0"/>
                      <a:ext cx="2403475" cy="351790"/>
                    </a:xfrm>
                    <a:prstGeom prst="rect">
                      <a:avLst/>
                    </a:prstGeom>
                    <a:noFill/>
                    <a:ln w="9525">
                      <a:noFill/>
                      <a:miter lim="800000"/>
                      <a:headEnd/>
                      <a:tailEnd/>
                    </a:ln>
                  </pic:spPr>
                </pic:pic>
              </a:graphicData>
            </a:graphic>
          </wp:inline>
        </w:drawing>
      </w:r>
    </w:p>
    <w:p w14:paraId="7BEAB37E" w14:textId="77777777" w:rsidR="005C5548" w:rsidRPr="005C5548" w:rsidRDefault="005C5548" w:rsidP="005C5548">
      <w:pPr>
        <w:ind w:left="1080"/>
        <w:rPr>
          <w:szCs w:val="22"/>
        </w:rPr>
      </w:pPr>
      <w:r w:rsidRPr="005C5548">
        <w:rPr>
          <w:szCs w:val="22"/>
        </w:rPr>
        <w:t>Where:</w:t>
      </w:r>
    </w:p>
    <w:p w14:paraId="75F4DD95" w14:textId="77777777" w:rsidR="005C5548" w:rsidRPr="005C5548" w:rsidRDefault="005C5548" w:rsidP="005C5548">
      <w:pPr>
        <w:ind w:left="1440"/>
        <w:rPr>
          <w:szCs w:val="22"/>
        </w:rPr>
      </w:pPr>
      <w:r w:rsidRPr="005C5548">
        <w:rPr>
          <w:szCs w:val="22"/>
        </w:rPr>
        <w:t>ER  =  Emission rate of CO in g/HP-hr.</w:t>
      </w:r>
    </w:p>
    <w:p w14:paraId="4DE5A439" w14:textId="77777777" w:rsidR="005C5548" w:rsidRPr="005C5548" w:rsidRDefault="005C5548" w:rsidP="005C5548">
      <w:pPr>
        <w:ind w:left="1440"/>
        <w:rPr>
          <w:szCs w:val="22"/>
        </w:rPr>
      </w:pPr>
      <w:r w:rsidRPr="005C5548">
        <w:rPr>
          <w:szCs w:val="22"/>
        </w:rPr>
        <w:t>Cd  =  Measured CO concentration in ppmv.</w:t>
      </w:r>
    </w:p>
    <w:p w14:paraId="7DDA0BB9" w14:textId="77777777" w:rsidR="005C5548" w:rsidRPr="005C5548" w:rsidRDefault="005C5548" w:rsidP="005C5548">
      <w:pPr>
        <w:ind w:left="2790" w:hanging="1350"/>
        <w:rPr>
          <w:szCs w:val="22"/>
        </w:rPr>
      </w:pPr>
      <w:r w:rsidRPr="005C5548">
        <w:rPr>
          <w:szCs w:val="22"/>
        </w:rPr>
        <w:t>1.164×10</w:t>
      </w:r>
      <w:r w:rsidRPr="005C5548">
        <w:rPr>
          <w:szCs w:val="22"/>
          <w:vertAlign w:val="superscript"/>
        </w:rPr>
        <w:t>−3</w:t>
      </w:r>
      <w:r w:rsidRPr="005C5548">
        <w:rPr>
          <w:szCs w:val="22"/>
        </w:rPr>
        <w:t xml:space="preserve">  =  Conversion constant for ppm CO to grams per standard cubic meter at 20 degrees Celsius.</w:t>
      </w:r>
    </w:p>
    <w:p w14:paraId="3100C36D" w14:textId="77777777" w:rsidR="005C5548" w:rsidRPr="005C5548" w:rsidRDefault="005C5548" w:rsidP="005C5548">
      <w:pPr>
        <w:ind w:left="1440"/>
        <w:rPr>
          <w:szCs w:val="22"/>
        </w:rPr>
      </w:pPr>
      <w:r w:rsidRPr="005C5548">
        <w:rPr>
          <w:szCs w:val="22"/>
        </w:rPr>
        <w:t>Q  =  Stack gas volumetric flow rate, in standard cubic meters per hour, dry basis.</w:t>
      </w:r>
    </w:p>
    <w:p w14:paraId="0555F2F6" w14:textId="77777777" w:rsidR="005C5548" w:rsidRPr="005C5548" w:rsidRDefault="005C5548" w:rsidP="005C5548">
      <w:pPr>
        <w:ind w:left="1440"/>
        <w:rPr>
          <w:szCs w:val="22"/>
        </w:rPr>
      </w:pPr>
      <w:r w:rsidRPr="005C5548">
        <w:rPr>
          <w:szCs w:val="22"/>
        </w:rPr>
        <w:t>T  =  Time of test run, in hours.</w:t>
      </w:r>
    </w:p>
    <w:p w14:paraId="4D5669FC" w14:textId="77777777" w:rsidR="005C5548" w:rsidRPr="005C5548" w:rsidRDefault="005C5548" w:rsidP="005C5548">
      <w:pPr>
        <w:ind w:left="1440"/>
        <w:rPr>
          <w:szCs w:val="22"/>
        </w:rPr>
      </w:pPr>
      <w:r w:rsidRPr="005C5548">
        <w:rPr>
          <w:szCs w:val="22"/>
        </w:rPr>
        <w:t>HP-hr  =  Brake work of the engine, in HP-hr.</w:t>
      </w:r>
    </w:p>
    <w:p w14:paraId="072CBF3E" w14:textId="77777777" w:rsidR="005C5548" w:rsidRPr="005C5548" w:rsidRDefault="005C5548" w:rsidP="005C5548">
      <w:pPr>
        <w:spacing w:after="120"/>
        <w:ind w:left="360"/>
        <w:rPr>
          <w:szCs w:val="22"/>
        </w:rPr>
      </w:pPr>
      <w:r w:rsidRPr="005C5548">
        <w:rPr>
          <w:szCs w:val="22"/>
        </w:rPr>
        <w:t>[40 CFR 60.4243(b)(2) &amp; 40 CFR 60.4244]</w:t>
      </w:r>
    </w:p>
    <w:p w14:paraId="5AB16711" w14:textId="6C669F32" w:rsidR="005C5548" w:rsidRPr="005C5548" w:rsidRDefault="005C5548" w:rsidP="005C5548">
      <w:pPr>
        <w:numPr>
          <w:ilvl w:val="0"/>
          <w:numId w:val="123"/>
        </w:numPr>
        <w:tabs>
          <w:tab w:val="clear" w:pos="720"/>
        </w:tabs>
        <w:ind w:left="360" w:hanging="360"/>
        <w:rPr>
          <w:b/>
          <w:bCs/>
          <w:caps/>
        </w:rPr>
      </w:pPr>
      <w:bookmarkStart w:id="271" w:name="_Ref520798763"/>
      <w:r w:rsidRPr="005C5548">
        <w:rPr>
          <w:u w:val="single"/>
        </w:rPr>
        <w:t>Requirements for Performance Tests</w:t>
      </w:r>
      <w:r w:rsidRPr="005C5548">
        <w:t>.</w:t>
      </w:r>
      <w:r w:rsidRPr="005C5548">
        <w:rPr>
          <w:bCs/>
        </w:rPr>
        <w:t xml:space="preserve"> When required to demonstrate compliance with the emissions standards specified in Specific Conditions </w:t>
      </w:r>
      <w:r w:rsidR="00637267" w:rsidRPr="001F792C">
        <w:rPr>
          <w:b/>
          <w:szCs w:val="22"/>
        </w:rPr>
        <w:fldChar w:fldCharType="begin"/>
      </w:r>
      <w:r w:rsidR="00637267" w:rsidRPr="001F792C">
        <w:rPr>
          <w:b/>
          <w:szCs w:val="22"/>
        </w:rPr>
        <w:instrText xml:space="preserve"> REF _Ref520795229 \r \h </w:instrText>
      </w:r>
      <w:r w:rsidR="00637267">
        <w:rPr>
          <w:b/>
          <w:szCs w:val="22"/>
        </w:rPr>
        <w:instrText xml:space="preserve"> \* MERGEFORMAT </w:instrText>
      </w:r>
      <w:r w:rsidR="00637267" w:rsidRPr="001F792C">
        <w:rPr>
          <w:b/>
          <w:szCs w:val="22"/>
        </w:rPr>
      </w:r>
      <w:r w:rsidR="00637267" w:rsidRPr="001F792C">
        <w:rPr>
          <w:b/>
          <w:szCs w:val="22"/>
        </w:rPr>
        <w:fldChar w:fldCharType="separate"/>
      </w:r>
      <w:r w:rsidR="00D31800">
        <w:rPr>
          <w:b/>
          <w:szCs w:val="22"/>
        </w:rPr>
        <w:t xml:space="preserve">I.3. </w:t>
      </w:r>
      <w:r w:rsidR="00637267" w:rsidRPr="001F792C">
        <w:rPr>
          <w:b/>
          <w:szCs w:val="22"/>
        </w:rPr>
        <w:fldChar w:fldCharType="end"/>
      </w:r>
      <w:r w:rsidR="00637267">
        <w:rPr>
          <w:szCs w:val="22"/>
        </w:rPr>
        <w:t xml:space="preserve"> </w:t>
      </w:r>
      <w:r w:rsidR="00637267" w:rsidRPr="005C5548">
        <w:rPr>
          <w:szCs w:val="22"/>
        </w:rPr>
        <w:t>and</w:t>
      </w:r>
      <w:r w:rsidR="00637267">
        <w:rPr>
          <w:szCs w:val="22"/>
        </w:rPr>
        <w:t xml:space="preserve"> </w:t>
      </w:r>
      <w:r w:rsidR="00637267" w:rsidRPr="001F792C">
        <w:rPr>
          <w:b/>
          <w:szCs w:val="22"/>
        </w:rPr>
        <w:fldChar w:fldCharType="begin"/>
      </w:r>
      <w:r w:rsidR="00637267" w:rsidRPr="001F792C">
        <w:rPr>
          <w:b/>
          <w:szCs w:val="22"/>
        </w:rPr>
        <w:instrText xml:space="preserve"> REF _Ref520795232 \r \h </w:instrText>
      </w:r>
      <w:r w:rsidR="00637267">
        <w:rPr>
          <w:b/>
          <w:szCs w:val="22"/>
        </w:rPr>
        <w:instrText xml:space="preserve"> \* MERGEFORMAT </w:instrText>
      </w:r>
      <w:r w:rsidR="00637267" w:rsidRPr="001F792C">
        <w:rPr>
          <w:b/>
          <w:szCs w:val="22"/>
        </w:rPr>
      </w:r>
      <w:r w:rsidR="00637267" w:rsidRPr="001F792C">
        <w:rPr>
          <w:b/>
          <w:szCs w:val="22"/>
        </w:rPr>
        <w:fldChar w:fldCharType="separate"/>
      </w:r>
      <w:r w:rsidR="00D31800">
        <w:rPr>
          <w:b/>
          <w:szCs w:val="22"/>
        </w:rPr>
        <w:t xml:space="preserve">I.4. </w:t>
      </w:r>
      <w:r w:rsidR="00637267" w:rsidRPr="001F792C">
        <w:rPr>
          <w:b/>
          <w:szCs w:val="22"/>
        </w:rPr>
        <w:fldChar w:fldCharType="end"/>
      </w:r>
      <w:r w:rsidRPr="005C5548">
        <w:rPr>
          <w:bCs/>
        </w:rPr>
        <w:t>, the following requirements must be met:</w:t>
      </w:r>
      <w:bookmarkEnd w:id="271"/>
      <w:r w:rsidRPr="005C5548">
        <w:rPr>
          <w:bCs/>
        </w:rPr>
        <w:t xml:space="preserve">  </w:t>
      </w:r>
    </w:p>
    <w:p w14:paraId="62CBE432" w14:textId="77777777" w:rsidR="005C5548" w:rsidRPr="005C5548" w:rsidRDefault="005C5548" w:rsidP="005C5548">
      <w:pPr>
        <w:numPr>
          <w:ilvl w:val="0"/>
          <w:numId w:val="129"/>
        </w:numPr>
        <w:contextualSpacing/>
        <w:rPr>
          <w:rFonts w:eastAsia="Calibri"/>
          <w:bCs/>
          <w:caps/>
          <w:szCs w:val="22"/>
        </w:rPr>
      </w:pPr>
      <w:r w:rsidRPr="005C5548">
        <w:rPr>
          <w:rFonts w:eastAsia="Calibri"/>
          <w:bCs/>
          <w:i/>
          <w:caps/>
          <w:color w:val="000000"/>
          <w:szCs w:val="22"/>
        </w:rPr>
        <w:t>NO</w:t>
      </w:r>
      <w:r w:rsidRPr="005C5548">
        <w:rPr>
          <w:rFonts w:eastAsia="Calibri"/>
          <w:bCs/>
          <w:i/>
          <w:caps/>
          <w:color w:val="000000"/>
          <w:szCs w:val="22"/>
          <w:vertAlign w:val="subscript"/>
        </w:rPr>
        <w:t>X</w:t>
      </w:r>
      <w:r w:rsidRPr="005C5548">
        <w:rPr>
          <w:rFonts w:eastAsia="Calibri"/>
          <w:bCs/>
          <w:szCs w:val="22"/>
        </w:rPr>
        <w:t xml:space="preserve">.  </w:t>
      </w:r>
    </w:p>
    <w:p w14:paraId="42FE3705" w14:textId="77777777" w:rsidR="005C5548" w:rsidRPr="005C5548" w:rsidRDefault="005C5548" w:rsidP="005C5548">
      <w:pPr>
        <w:numPr>
          <w:ilvl w:val="0"/>
          <w:numId w:val="130"/>
        </w:numPr>
        <w:ind w:left="1080"/>
        <w:contextualSpacing/>
        <w:rPr>
          <w:rFonts w:eastAsia="Calibri"/>
          <w:bCs/>
          <w:caps/>
          <w:szCs w:val="22"/>
        </w:rPr>
      </w:pPr>
      <w:r w:rsidRPr="005C5548">
        <w:rPr>
          <w:rFonts w:eastAsia="Calibri"/>
          <w:szCs w:val="22"/>
        </w:rPr>
        <w:t>Select the sampling port location and the number of traverse points using Method 1 or 1A of 40 CFR part 60, appendix A or ASTM Method D6522–00(2005)</w:t>
      </w:r>
      <w:r w:rsidRPr="005C5548">
        <w:rPr>
          <w:rFonts w:eastAsia="Calibri"/>
          <w:szCs w:val="22"/>
          <w:vertAlign w:val="superscript"/>
        </w:rPr>
        <w:t>a</w:t>
      </w:r>
      <w:r w:rsidRPr="005C5548">
        <w:rPr>
          <w:rFonts w:eastAsia="Calibri"/>
          <w:szCs w:val="22"/>
        </w:rPr>
        <w:t>.  If using a control device, the sampling site must be located at the outlet of the control device.</w:t>
      </w:r>
    </w:p>
    <w:p w14:paraId="2D918107" w14:textId="77777777" w:rsidR="005C5548" w:rsidRPr="005C5548" w:rsidRDefault="005C5548" w:rsidP="005C5548">
      <w:pPr>
        <w:numPr>
          <w:ilvl w:val="0"/>
          <w:numId w:val="130"/>
        </w:numPr>
        <w:ind w:left="1080"/>
        <w:contextualSpacing/>
        <w:rPr>
          <w:rFonts w:eastAsia="Calibri"/>
          <w:bCs/>
          <w:caps/>
          <w:szCs w:val="22"/>
        </w:rPr>
      </w:pPr>
      <w:r w:rsidRPr="005C5548">
        <w:rPr>
          <w:rFonts w:eastAsia="Calibri"/>
          <w:szCs w:val="22"/>
        </w:rPr>
        <w:t>Determine the O</w:t>
      </w:r>
      <w:r w:rsidRPr="005C5548">
        <w:rPr>
          <w:rFonts w:eastAsia="Calibri"/>
          <w:szCs w:val="22"/>
          <w:vertAlign w:val="subscript"/>
        </w:rPr>
        <w:t xml:space="preserve">2 </w:t>
      </w:r>
      <w:r w:rsidRPr="005C5548">
        <w:rPr>
          <w:rFonts w:eastAsia="Calibri"/>
          <w:szCs w:val="22"/>
        </w:rPr>
        <w:t>concentration of the stationary internal combustion engine exhaust at the sampling port location using Method 3, 3A, or 3B</w:t>
      </w:r>
      <w:r w:rsidRPr="005C5548">
        <w:rPr>
          <w:rFonts w:eastAsia="Calibri"/>
          <w:szCs w:val="22"/>
          <w:vertAlign w:val="superscript"/>
        </w:rPr>
        <w:t>b</w:t>
      </w:r>
      <w:r w:rsidRPr="005C5548">
        <w:rPr>
          <w:rFonts w:eastAsia="Calibri"/>
          <w:szCs w:val="22"/>
        </w:rPr>
        <w:t>of 40 CFR part 60, appendix A or ASTM Method D6522–00(2005)</w:t>
      </w:r>
      <w:r w:rsidRPr="005C5548">
        <w:rPr>
          <w:rFonts w:eastAsia="Calibri"/>
          <w:szCs w:val="22"/>
          <w:vertAlign w:val="superscript"/>
        </w:rPr>
        <w:t>a</w:t>
      </w:r>
      <w:r w:rsidRPr="005C5548">
        <w:rPr>
          <w:rFonts w:eastAsia="Calibri"/>
          <w:szCs w:val="22"/>
        </w:rPr>
        <w:t>.  Measurements to determine O</w:t>
      </w:r>
      <w:r w:rsidRPr="005C5548">
        <w:rPr>
          <w:rFonts w:eastAsia="Calibri"/>
          <w:szCs w:val="22"/>
          <w:vertAlign w:val="subscript"/>
        </w:rPr>
        <w:t xml:space="preserve">2 </w:t>
      </w:r>
      <w:r w:rsidRPr="005C5548">
        <w:rPr>
          <w:rFonts w:eastAsia="Calibri"/>
          <w:szCs w:val="22"/>
        </w:rPr>
        <w:t>concentration must be made at the same time as the measurements for NO</w:t>
      </w:r>
      <w:r w:rsidRPr="005C5548">
        <w:rPr>
          <w:rFonts w:eastAsia="Calibri"/>
          <w:szCs w:val="22"/>
          <w:vertAlign w:val="subscript"/>
        </w:rPr>
        <w:t>X</w:t>
      </w:r>
      <w:r w:rsidRPr="005C5548">
        <w:rPr>
          <w:rFonts w:eastAsia="Calibri"/>
          <w:szCs w:val="22"/>
        </w:rPr>
        <w:t xml:space="preserve"> concentration.</w:t>
      </w:r>
    </w:p>
    <w:p w14:paraId="420FA496" w14:textId="77777777" w:rsidR="005C5548" w:rsidRPr="005C5548" w:rsidRDefault="005C5548" w:rsidP="005C5548">
      <w:pPr>
        <w:numPr>
          <w:ilvl w:val="0"/>
          <w:numId w:val="130"/>
        </w:numPr>
        <w:ind w:left="1080"/>
        <w:contextualSpacing/>
        <w:rPr>
          <w:rFonts w:eastAsia="Calibri"/>
          <w:bCs/>
          <w:caps/>
          <w:szCs w:val="22"/>
        </w:rPr>
      </w:pPr>
      <w:r w:rsidRPr="005C5548">
        <w:rPr>
          <w:rFonts w:eastAsia="Calibri"/>
          <w:szCs w:val="22"/>
        </w:rPr>
        <w:t>Determine the exhaust flowrate of the stationary internal combustion engine exhaust using Method 2 or 19 of 40 CFR Part 60.</w:t>
      </w:r>
    </w:p>
    <w:p w14:paraId="6D29ED6D" w14:textId="77777777" w:rsidR="005C5548" w:rsidRPr="005C5548" w:rsidRDefault="005C5548" w:rsidP="005C5548">
      <w:pPr>
        <w:numPr>
          <w:ilvl w:val="0"/>
          <w:numId w:val="130"/>
        </w:numPr>
        <w:ind w:left="1080"/>
        <w:contextualSpacing/>
        <w:rPr>
          <w:rFonts w:eastAsia="Calibri"/>
          <w:bCs/>
          <w:caps/>
          <w:szCs w:val="22"/>
        </w:rPr>
      </w:pPr>
      <w:r w:rsidRPr="005C5548">
        <w:rPr>
          <w:rFonts w:eastAsia="Calibri"/>
          <w:szCs w:val="22"/>
        </w:rPr>
        <w:t>If necessary, measure moisture content of the stationary internal combustion engine exhaust at the sampling port location using Method 4 of 40 CFR part 60, appendix A, Method 320 of 40 CFR part 63, appendix A, or ASTM D6348–03 (incorporated by reference, see 40 CFR 60.17).  Measurements to determine moisture must be made at the same time as the measurement for NO</w:t>
      </w:r>
      <w:r w:rsidRPr="005C5548">
        <w:rPr>
          <w:rFonts w:eastAsia="Calibri"/>
          <w:szCs w:val="22"/>
          <w:vertAlign w:val="subscript"/>
        </w:rPr>
        <w:t>X</w:t>
      </w:r>
      <w:r w:rsidRPr="005C5548">
        <w:rPr>
          <w:rFonts w:eastAsia="Calibri"/>
          <w:szCs w:val="22"/>
        </w:rPr>
        <w:t xml:space="preserve"> concentration.</w:t>
      </w:r>
    </w:p>
    <w:p w14:paraId="7C864DC1" w14:textId="77777777" w:rsidR="005C5548" w:rsidRPr="005C5548" w:rsidRDefault="005C5548" w:rsidP="005C5548">
      <w:pPr>
        <w:numPr>
          <w:ilvl w:val="0"/>
          <w:numId w:val="130"/>
        </w:numPr>
        <w:ind w:left="1080"/>
        <w:contextualSpacing/>
        <w:rPr>
          <w:rFonts w:eastAsia="Calibri"/>
          <w:bCs/>
          <w:caps/>
          <w:szCs w:val="22"/>
        </w:rPr>
      </w:pPr>
      <w:r w:rsidRPr="005C5548">
        <w:rPr>
          <w:rFonts w:eastAsia="Calibri"/>
          <w:szCs w:val="22"/>
        </w:rPr>
        <w:t>Measure NO</w:t>
      </w:r>
      <w:r w:rsidRPr="005C5548">
        <w:rPr>
          <w:rFonts w:eastAsia="Calibri"/>
          <w:szCs w:val="22"/>
          <w:vertAlign w:val="subscript"/>
        </w:rPr>
        <w:t xml:space="preserve">X </w:t>
      </w:r>
      <w:r w:rsidRPr="005C5548">
        <w:rPr>
          <w:rFonts w:eastAsia="Calibri"/>
          <w:szCs w:val="22"/>
        </w:rPr>
        <w:t>at the exhaust of the stationary internal combustion engine using Method 7E of 40 CFR part 60, appendix A, Method D6522–00(2005)</w:t>
      </w:r>
      <w:r w:rsidRPr="005C5548">
        <w:rPr>
          <w:rFonts w:eastAsia="Calibri"/>
          <w:szCs w:val="22"/>
          <w:vertAlign w:val="superscript"/>
        </w:rPr>
        <w:t>a</w:t>
      </w:r>
      <w:r w:rsidRPr="005C5548">
        <w:rPr>
          <w:rFonts w:eastAsia="Calibri"/>
          <w:szCs w:val="22"/>
        </w:rPr>
        <w:t>, Method 320 of 40 CFR part 63, appendix A, or ASTM D6348–03 (incorporated by reference, see §60.17).  Results of this test consist of the average of the three 1-hour or longer runs.</w:t>
      </w:r>
    </w:p>
    <w:p w14:paraId="4761D954" w14:textId="77777777" w:rsidR="005C5548" w:rsidRPr="005C5548" w:rsidRDefault="005C5548" w:rsidP="005C5548">
      <w:pPr>
        <w:numPr>
          <w:ilvl w:val="0"/>
          <w:numId w:val="129"/>
        </w:numPr>
        <w:contextualSpacing/>
        <w:rPr>
          <w:rFonts w:eastAsia="Calibri"/>
          <w:bCs/>
          <w:caps/>
          <w:szCs w:val="22"/>
        </w:rPr>
      </w:pPr>
      <w:r w:rsidRPr="005C5548">
        <w:rPr>
          <w:rFonts w:eastAsia="Calibri"/>
          <w:bCs/>
          <w:i/>
          <w:caps/>
          <w:color w:val="000000"/>
          <w:szCs w:val="22"/>
        </w:rPr>
        <w:t>CO</w:t>
      </w:r>
      <w:r w:rsidRPr="005C5548">
        <w:rPr>
          <w:rFonts w:eastAsia="Calibri"/>
          <w:bCs/>
          <w:caps/>
          <w:szCs w:val="22"/>
        </w:rPr>
        <w:t>.</w:t>
      </w:r>
    </w:p>
    <w:p w14:paraId="0FDB3ADE" w14:textId="77777777" w:rsidR="005C5548" w:rsidRPr="005C5548" w:rsidRDefault="005C5548" w:rsidP="005C5548">
      <w:pPr>
        <w:numPr>
          <w:ilvl w:val="0"/>
          <w:numId w:val="131"/>
        </w:numPr>
        <w:contextualSpacing/>
        <w:rPr>
          <w:rFonts w:eastAsia="Calibri"/>
          <w:bCs/>
          <w:caps/>
          <w:szCs w:val="22"/>
        </w:rPr>
      </w:pPr>
      <w:r w:rsidRPr="005C5548">
        <w:rPr>
          <w:rFonts w:eastAsia="Calibri"/>
          <w:szCs w:val="22"/>
        </w:rPr>
        <w:t>Select the sampling port location and the number of traverse points using Method 1 or 1A of 40 CFR part 60, Appendix A.  If using a control device, the sampling site must be located at the outlet of the control device.</w:t>
      </w:r>
    </w:p>
    <w:p w14:paraId="686E17D5" w14:textId="77777777" w:rsidR="005C5548" w:rsidRPr="005C5548" w:rsidRDefault="005C5548" w:rsidP="005C5548">
      <w:pPr>
        <w:numPr>
          <w:ilvl w:val="0"/>
          <w:numId w:val="131"/>
        </w:numPr>
        <w:contextualSpacing/>
        <w:rPr>
          <w:rFonts w:eastAsia="Calibri"/>
          <w:bCs/>
          <w:caps/>
          <w:szCs w:val="22"/>
        </w:rPr>
      </w:pPr>
      <w:r w:rsidRPr="005C5548">
        <w:rPr>
          <w:rFonts w:eastAsia="Calibri"/>
          <w:szCs w:val="22"/>
        </w:rPr>
        <w:t xml:space="preserve">Determine the </w:t>
      </w:r>
      <w:r w:rsidRPr="005C5548">
        <w:rPr>
          <w:rFonts w:eastAsia="Calibri"/>
          <w:color w:val="000000"/>
          <w:szCs w:val="22"/>
        </w:rPr>
        <w:t>O</w:t>
      </w:r>
      <w:r w:rsidRPr="005C5548">
        <w:rPr>
          <w:rFonts w:eastAsia="Calibri"/>
          <w:color w:val="000000"/>
          <w:szCs w:val="22"/>
          <w:vertAlign w:val="subscript"/>
        </w:rPr>
        <w:t>2</w:t>
      </w:r>
      <w:r w:rsidRPr="005C5548">
        <w:rPr>
          <w:rFonts w:eastAsia="Calibri"/>
          <w:szCs w:val="22"/>
        </w:rPr>
        <w:t xml:space="preserve"> concentration of the stationary internal combustion engine exhaust at the sampling port location using Method 3, 3A, or 3Bb of 40 CFR part 60, Appendix A or ASTM Method D6522–00(2005)</w:t>
      </w:r>
      <w:r w:rsidRPr="005C5548">
        <w:rPr>
          <w:rFonts w:eastAsia="Calibri"/>
          <w:szCs w:val="22"/>
          <w:vertAlign w:val="superscript"/>
        </w:rPr>
        <w:t>a</w:t>
      </w:r>
      <w:r w:rsidRPr="005C5548">
        <w:rPr>
          <w:rFonts w:eastAsia="Calibri"/>
          <w:szCs w:val="22"/>
        </w:rPr>
        <w:t>.  Measurements to determine O</w:t>
      </w:r>
      <w:r w:rsidRPr="005C5548">
        <w:rPr>
          <w:rFonts w:eastAsia="Calibri"/>
          <w:szCs w:val="22"/>
          <w:vertAlign w:val="subscript"/>
        </w:rPr>
        <w:t>2</w:t>
      </w:r>
      <w:r w:rsidRPr="005C5548">
        <w:rPr>
          <w:rFonts w:eastAsia="Calibri"/>
          <w:szCs w:val="22"/>
        </w:rPr>
        <w:t>concentration must be made at the same time as the measurements for CO concentration.</w:t>
      </w:r>
    </w:p>
    <w:p w14:paraId="629547A1" w14:textId="77777777" w:rsidR="005C5548" w:rsidRPr="005C5548" w:rsidRDefault="005C5548" w:rsidP="005C5548">
      <w:pPr>
        <w:numPr>
          <w:ilvl w:val="0"/>
          <w:numId w:val="131"/>
        </w:numPr>
        <w:contextualSpacing/>
        <w:rPr>
          <w:rFonts w:eastAsia="Calibri"/>
          <w:bCs/>
          <w:caps/>
          <w:szCs w:val="22"/>
        </w:rPr>
      </w:pPr>
      <w:r w:rsidRPr="005C5548">
        <w:rPr>
          <w:rFonts w:eastAsia="Calibri"/>
          <w:szCs w:val="22"/>
        </w:rPr>
        <w:t>Determine the exhaust flowrate of the stationary internal combustion engine exhaust using Method 2 or 19 of 40 CFR part 60.</w:t>
      </w:r>
    </w:p>
    <w:p w14:paraId="13E9D1FE" w14:textId="77777777" w:rsidR="005C5548" w:rsidRPr="005C5548" w:rsidRDefault="005C5548" w:rsidP="005C5548">
      <w:pPr>
        <w:numPr>
          <w:ilvl w:val="0"/>
          <w:numId w:val="131"/>
        </w:numPr>
        <w:contextualSpacing/>
        <w:rPr>
          <w:rFonts w:eastAsia="Calibri"/>
          <w:bCs/>
          <w:caps/>
          <w:szCs w:val="22"/>
        </w:rPr>
      </w:pPr>
      <w:r w:rsidRPr="005C5548">
        <w:rPr>
          <w:rFonts w:eastAsia="Calibri"/>
          <w:szCs w:val="22"/>
        </w:rPr>
        <w:t>If necessary, measure moisture content of the stationary internal combustion engine exhaust at the sampling port location using Method 4 of 40 CFR part 60, appendix A, Method 320 of 40 CFR part 63, appendix A, or ASTM D6348–03 (incorporated by reference, see 40 CFR 60.17).  Measurements to determine moisture must be made at the same time as the measurement for CO concentration.</w:t>
      </w:r>
    </w:p>
    <w:p w14:paraId="0C29C356" w14:textId="77777777" w:rsidR="005C5548" w:rsidRPr="005C5548" w:rsidRDefault="005C5548" w:rsidP="005C5548">
      <w:pPr>
        <w:numPr>
          <w:ilvl w:val="0"/>
          <w:numId w:val="131"/>
        </w:numPr>
        <w:contextualSpacing/>
        <w:rPr>
          <w:rFonts w:eastAsia="Calibri"/>
          <w:bCs/>
          <w:caps/>
          <w:szCs w:val="22"/>
        </w:rPr>
      </w:pPr>
      <w:r w:rsidRPr="005C5548">
        <w:rPr>
          <w:rFonts w:eastAsia="Calibri"/>
          <w:szCs w:val="22"/>
        </w:rPr>
        <w:t>Measure CO at the exhaust of the stationary internal combustion engine using Method 10 of 40 CFR part 60, Appendix A, ASTM Method D6522–00(2005)</w:t>
      </w:r>
      <w:r w:rsidRPr="005C5548">
        <w:rPr>
          <w:rFonts w:eastAsia="Calibri"/>
          <w:szCs w:val="22"/>
          <w:vertAlign w:val="superscript"/>
        </w:rPr>
        <w:t>a</w:t>
      </w:r>
      <w:r w:rsidRPr="005C5548">
        <w:rPr>
          <w:rFonts w:eastAsia="Calibri"/>
          <w:szCs w:val="22"/>
        </w:rPr>
        <w:t>, Method 320 of 40 CFR part 63, Appendix A, or ASTM D 6348–03 (incorporated by reference, see 40 CFR 60.17).  Results of this test consist of the average of the three 1-hour or longer runs.</w:t>
      </w:r>
    </w:p>
    <w:p w14:paraId="3937675A" w14:textId="77777777" w:rsidR="005C5548" w:rsidRPr="005C5548" w:rsidRDefault="005C5548" w:rsidP="005C5548">
      <w:pPr>
        <w:suppressAutoHyphens/>
        <w:ind w:left="360"/>
        <w:rPr>
          <w:szCs w:val="22"/>
        </w:rPr>
      </w:pPr>
      <w:r w:rsidRPr="005C5548">
        <w:rPr>
          <w:szCs w:val="22"/>
        </w:rPr>
        <w:t xml:space="preserve">Note a:  </w:t>
      </w:r>
      <w:r w:rsidRPr="005C5548">
        <w:t>You may petition the Administrator for approval to use alternative methods for portable analyzer.</w:t>
      </w:r>
    </w:p>
    <w:p w14:paraId="1D84A883" w14:textId="77777777" w:rsidR="005C5548" w:rsidRPr="005C5548" w:rsidRDefault="005C5548" w:rsidP="005C5548">
      <w:pPr>
        <w:suppressAutoHyphens/>
        <w:spacing w:after="120"/>
        <w:ind w:left="360"/>
        <w:rPr>
          <w:szCs w:val="22"/>
        </w:rPr>
      </w:pPr>
      <w:r w:rsidRPr="005C5548">
        <w:rPr>
          <w:szCs w:val="22"/>
        </w:rPr>
        <w:t>[40 CFR 60.4243(b)(2)(</w:t>
      </w:r>
      <w:proofErr w:type="spellStart"/>
      <w:r w:rsidRPr="005C5548">
        <w:rPr>
          <w:szCs w:val="22"/>
        </w:rPr>
        <w:t>i</w:t>
      </w:r>
      <w:proofErr w:type="spellEnd"/>
      <w:r w:rsidRPr="005C5548">
        <w:rPr>
          <w:szCs w:val="22"/>
        </w:rPr>
        <w:t>), 40 CFR 60.4244, and Table 2]</w:t>
      </w:r>
    </w:p>
    <w:p w14:paraId="054161A4" w14:textId="77777777" w:rsidR="005C5548" w:rsidRPr="005C5548" w:rsidRDefault="005C5548" w:rsidP="00C75EEC">
      <w:pPr>
        <w:numPr>
          <w:ilvl w:val="0"/>
          <w:numId w:val="123"/>
        </w:numPr>
        <w:tabs>
          <w:tab w:val="clear" w:pos="720"/>
        </w:tabs>
        <w:ind w:left="360" w:hanging="360"/>
        <w:rPr>
          <w:b/>
          <w:szCs w:val="22"/>
          <w:u w:val="single"/>
        </w:rPr>
      </w:pPr>
      <w:bookmarkStart w:id="272" w:name="_Ref520799193"/>
      <w:r w:rsidRPr="005C5548">
        <w:rPr>
          <w:szCs w:val="22"/>
          <w:u w:val="single"/>
        </w:rPr>
        <w:t>Common Testing Requirements</w:t>
      </w:r>
      <w:r w:rsidRPr="005C5548">
        <w:rPr>
          <w:szCs w:val="22"/>
        </w:rPr>
        <w:t>.  Unless otherwise specified, tests shall be conducted in accordance with the requirements and procedures specified in Appendix TR, Facility-Wide Testing Requirements, of this permit.  [Rule 62-297.310, F.A.C.]</w:t>
      </w:r>
      <w:bookmarkEnd w:id="272"/>
    </w:p>
    <w:p w14:paraId="384B7EF6" w14:textId="77777777" w:rsidR="005C5548" w:rsidRPr="005C5548" w:rsidRDefault="005C5548" w:rsidP="005C5548">
      <w:pPr>
        <w:tabs>
          <w:tab w:val="left" w:pos="0"/>
        </w:tabs>
        <w:suppressAutoHyphens/>
        <w:spacing w:before="120" w:after="120"/>
        <w:jc w:val="both"/>
        <w:rPr>
          <w:b/>
          <w:szCs w:val="22"/>
          <w:u w:val="single"/>
        </w:rPr>
      </w:pPr>
      <w:r w:rsidRPr="005C5548">
        <w:rPr>
          <w:b/>
          <w:szCs w:val="22"/>
          <w:u w:val="single"/>
        </w:rPr>
        <w:t>Notification, Records and Reports</w:t>
      </w:r>
    </w:p>
    <w:p w14:paraId="4352678D" w14:textId="77777777" w:rsidR="005C5548" w:rsidRPr="005C5548" w:rsidRDefault="005C5548" w:rsidP="00C75EEC">
      <w:pPr>
        <w:numPr>
          <w:ilvl w:val="0"/>
          <w:numId w:val="123"/>
        </w:numPr>
        <w:tabs>
          <w:tab w:val="clear" w:pos="720"/>
        </w:tabs>
        <w:spacing w:after="120"/>
        <w:ind w:left="360" w:hanging="360"/>
        <w:rPr>
          <w:bCs/>
          <w:szCs w:val="22"/>
        </w:rPr>
      </w:pPr>
      <w:r w:rsidRPr="005C5548">
        <w:rPr>
          <w:szCs w:val="22"/>
          <w:u w:val="single"/>
        </w:rPr>
        <w:t>Hours of Operation Records</w:t>
      </w:r>
      <w:r w:rsidRPr="005C5548">
        <w:rPr>
          <w:szCs w:val="22"/>
        </w:rPr>
        <w:t xml:space="preserve">.  </w:t>
      </w:r>
      <w:r w:rsidRPr="005C5548">
        <w:rPr>
          <w:bCs/>
          <w:szCs w:val="22"/>
        </w:rPr>
        <w:t>The owner or operator must keep records of the hours of operation of the engine that is recorded through the non-resettable hour meter and must document how many hours are spent for emergency operation; including what classified the operation as emergency and how many hours are spent for non-emergency operation.  [40 CFR 60.4245(b)]</w:t>
      </w:r>
    </w:p>
    <w:p w14:paraId="4B5B714D" w14:textId="3BB48262" w:rsidR="005C5548" w:rsidRPr="005C5548" w:rsidRDefault="005C5548" w:rsidP="00C75EEC">
      <w:pPr>
        <w:numPr>
          <w:ilvl w:val="0"/>
          <w:numId w:val="123"/>
        </w:numPr>
        <w:tabs>
          <w:tab w:val="clear" w:pos="720"/>
        </w:tabs>
        <w:ind w:left="360" w:hanging="360"/>
        <w:rPr>
          <w:szCs w:val="22"/>
        </w:rPr>
      </w:pPr>
      <w:r w:rsidRPr="005C5548">
        <w:rPr>
          <w:szCs w:val="22"/>
          <w:u w:val="single"/>
        </w:rPr>
        <w:t>Maintenance Records</w:t>
      </w:r>
      <w:r w:rsidRPr="005C5548">
        <w:rPr>
          <w:szCs w:val="22"/>
        </w:rPr>
        <w:t xml:space="preserve">.  </w:t>
      </w:r>
      <w:r w:rsidRPr="005C5548">
        <w:rPr>
          <w:bCs/>
          <w:szCs w:val="22"/>
        </w:rPr>
        <w:t xml:space="preserve">To demonstrate conformance with the manufacturer’s written instructions for maintaining the certified engine </w:t>
      </w:r>
      <w:r w:rsidRPr="005C5548">
        <w:rPr>
          <w:szCs w:val="22"/>
        </w:rPr>
        <w:t>and to document when compliance testing was performed pursuant to Specific Conditions</w:t>
      </w:r>
      <w:r w:rsidR="00D91CD3">
        <w:rPr>
          <w:szCs w:val="22"/>
        </w:rPr>
        <w:t xml:space="preserve"> </w:t>
      </w:r>
      <w:r w:rsidR="00D91CD3" w:rsidRPr="00D91CD3">
        <w:rPr>
          <w:b/>
          <w:szCs w:val="22"/>
        </w:rPr>
        <w:fldChar w:fldCharType="begin"/>
      </w:r>
      <w:r w:rsidR="00D91CD3" w:rsidRPr="00D91CD3">
        <w:rPr>
          <w:b/>
          <w:szCs w:val="22"/>
        </w:rPr>
        <w:instrText xml:space="preserve"> REF _Ref520798763 \r \h </w:instrText>
      </w:r>
      <w:r w:rsidR="00D91CD3">
        <w:rPr>
          <w:b/>
          <w:szCs w:val="22"/>
        </w:rPr>
        <w:instrText xml:space="preserve"> \* MERGEFORMAT </w:instrText>
      </w:r>
      <w:r w:rsidR="00D91CD3" w:rsidRPr="00D91CD3">
        <w:rPr>
          <w:b/>
          <w:szCs w:val="22"/>
        </w:rPr>
      </w:r>
      <w:r w:rsidR="00D91CD3" w:rsidRPr="00D91CD3">
        <w:rPr>
          <w:b/>
          <w:szCs w:val="22"/>
        </w:rPr>
        <w:fldChar w:fldCharType="separate"/>
      </w:r>
      <w:r w:rsidR="00D31800">
        <w:rPr>
          <w:b/>
          <w:szCs w:val="22"/>
        </w:rPr>
        <w:t xml:space="preserve">I.9. </w:t>
      </w:r>
      <w:r w:rsidR="00D91CD3" w:rsidRPr="00D91CD3">
        <w:rPr>
          <w:b/>
          <w:szCs w:val="22"/>
        </w:rPr>
        <w:fldChar w:fldCharType="end"/>
      </w:r>
      <w:r w:rsidR="00D91CD3">
        <w:rPr>
          <w:szCs w:val="22"/>
        </w:rPr>
        <w:t xml:space="preserve"> and </w:t>
      </w:r>
      <w:r w:rsidR="00D91CD3" w:rsidRPr="00D91CD3">
        <w:rPr>
          <w:b/>
          <w:szCs w:val="22"/>
        </w:rPr>
        <w:fldChar w:fldCharType="begin"/>
      </w:r>
      <w:r w:rsidR="00D91CD3" w:rsidRPr="00D91CD3">
        <w:rPr>
          <w:b/>
          <w:szCs w:val="22"/>
        </w:rPr>
        <w:instrText xml:space="preserve"> REF _Ref520799193 \r \h </w:instrText>
      </w:r>
      <w:r w:rsidR="00D91CD3">
        <w:rPr>
          <w:b/>
          <w:szCs w:val="22"/>
        </w:rPr>
        <w:instrText xml:space="preserve"> \* MERGEFORMAT </w:instrText>
      </w:r>
      <w:r w:rsidR="00D91CD3" w:rsidRPr="00D91CD3">
        <w:rPr>
          <w:b/>
          <w:szCs w:val="22"/>
        </w:rPr>
      </w:r>
      <w:r w:rsidR="00D91CD3" w:rsidRPr="00D91CD3">
        <w:rPr>
          <w:b/>
          <w:szCs w:val="22"/>
        </w:rPr>
        <w:fldChar w:fldCharType="separate"/>
      </w:r>
      <w:r w:rsidR="00D31800">
        <w:rPr>
          <w:b/>
          <w:szCs w:val="22"/>
        </w:rPr>
        <w:t xml:space="preserve">I.10. </w:t>
      </w:r>
      <w:r w:rsidR="00D91CD3" w:rsidRPr="00D91CD3">
        <w:rPr>
          <w:b/>
          <w:szCs w:val="22"/>
        </w:rPr>
        <w:fldChar w:fldCharType="end"/>
      </w:r>
      <w:r w:rsidR="00D91CD3">
        <w:rPr>
          <w:szCs w:val="22"/>
        </w:rPr>
        <w:t xml:space="preserve"> </w:t>
      </w:r>
      <w:r w:rsidRPr="005C5548">
        <w:rPr>
          <w:szCs w:val="22"/>
        </w:rPr>
        <w:t>(if tests are applicable</w:t>
      </w:r>
      <w:r w:rsidRPr="005C5548">
        <w:rPr>
          <w:b/>
          <w:szCs w:val="22"/>
        </w:rPr>
        <w:t>)</w:t>
      </w:r>
      <w:r w:rsidRPr="005C5548">
        <w:rPr>
          <w:szCs w:val="22"/>
        </w:rPr>
        <w:t>, the owner and operator must keep records of the following information:</w:t>
      </w:r>
    </w:p>
    <w:p w14:paraId="0E167217" w14:textId="77777777" w:rsidR="005C5548" w:rsidRPr="005C5548" w:rsidRDefault="005C5548" w:rsidP="005C5548">
      <w:pPr>
        <w:numPr>
          <w:ilvl w:val="1"/>
          <w:numId w:val="123"/>
        </w:numPr>
        <w:ind w:left="720"/>
        <w:rPr>
          <w:szCs w:val="22"/>
        </w:rPr>
      </w:pPr>
      <w:r w:rsidRPr="005C5548">
        <w:rPr>
          <w:i/>
          <w:szCs w:val="22"/>
        </w:rPr>
        <w:t>Notifications</w:t>
      </w:r>
      <w:r w:rsidRPr="005C5548">
        <w:rPr>
          <w:szCs w:val="22"/>
        </w:rPr>
        <w:t>.  All notifications submitted to comply with40 CFR 60, Subpart JJJJ, as specified in this subsection of the permit, and all documentation supporting any notification.</w:t>
      </w:r>
    </w:p>
    <w:p w14:paraId="0E238B0A" w14:textId="77777777" w:rsidR="005C5548" w:rsidRPr="005C5548" w:rsidRDefault="005C5548" w:rsidP="005C5548">
      <w:pPr>
        <w:numPr>
          <w:ilvl w:val="1"/>
          <w:numId w:val="123"/>
        </w:numPr>
        <w:ind w:left="720"/>
        <w:rPr>
          <w:szCs w:val="22"/>
        </w:rPr>
      </w:pPr>
      <w:r w:rsidRPr="005C5548">
        <w:rPr>
          <w:i/>
          <w:szCs w:val="22"/>
        </w:rPr>
        <w:t>Manufacturer Data.</w:t>
      </w:r>
      <w:r w:rsidRPr="005C5548">
        <w:rPr>
          <w:szCs w:val="22"/>
        </w:rPr>
        <w:t xml:space="preserve">  Engine manufacturer data indicating compliance with the standards.</w:t>
      </w:r>
    </w:p>
    <w:p w14:paraId="0499B855" w14:textId="77777777" w:rsidR="005C5548" w:rsidRPr="005C5548" w:rsidRDefault="005C5548" w:rsidP="005C5548">
      <w:pPr>
        <w:numPr>
          <w:ilvl w:val="1"/>
          <w:numId w:val="123"/>
        </w:numPr>
        <w:ind w:left="720"/>
        <w:rPr>
          <w:szCs w:val="22"/>
        </w:rPr>
      </w:pPr>
      <w:r w:rsidRPr="005C5548">
        <w:rPr>
          <w:i/>
          <w:szCs w:val="22"/>
        </w:rPr>
        <w:t>Manufacturer Instructions</w:t>
      </w:r>
      <w:r w:rsidRPr="005C5548">
        <w:rPr>
          <w:szCs w:val="22"/>
        </w:rPr>
        <w:t>.  A copy of the manufacturer’s written instructions for operation and maintenance of the certified engine.</w:t>
      </w:r>
    </w:p>
    <w:p w14:paraId="1841431D" w14:textId="77777777" w:rsidR="005C5548" w:rsidRPr="005C5548" w:rsidRDefault="005C5548" w:rsidP="005C5548">
      <w:pPr>
        <w:tabs>
          <w:tab w:val="left" w:pos="720"/>
        </w:tabs>
        <w:ind w:left="720" w:hanging="360"/>
        <w:rPr>
          <w:szCs w:val="22"/>
        </w:rPr>
      </w:pPr>
      <w:r w:rsidRPr="005C5548">
        <w:rPr>
          <w:szCs w:val="22"/>
        </w:rPr>
        <w:t>b.</w:t>
      </w:r>
      <w:r w:rsidRPr="005C5548">
        <w:rPr>
          <w:szCs w:val="22"/>
        </w:rPr>
        <w:tab/>
      </w:r>
      <w:r w:rsidRPr="005C5548">
        <w:rPr>
          <w:i/>
          <w:szCs w:val="22"/>
        </w:rPr>
        <w:t>Maintenance Log</w:t>
      </w:r>
      <w:r w:rsidRPr="005C5548">
        <w:rPr>
          <w:szCs w:val="22"/>
        </w:rPr>
        <w:t>.  Maintenance conducted on the engine.  A written maintenance log detailing the date and type of maintenance performed on the engine, as well as any deviations from the manufacturer’s written instructions.</w:t>
      </w:r>
    </w:p>
    <w:p w14:paraId="1AB865C9" w14:textId="77777777" w:rsidR="005C5548" w:rsidRPr="005C5548" w:rsidRDefault="005C5548" w:rsidP="005C5548">
      <w:pPr>
        <w:ind w:left="720" w:hanging="360"/>
        <w:rPr>
          <w:szCs w:val="22"/>
        </w:rPr>
      </w:pPr>
      <w:r w:rsidRPr="005C5548">
        <w:rPr>
          <w:szCs w:val="22"/>
        </w:rPr>
        <w:t>c.</w:t>
      </w:r>
      <w:r w:rsidRPr="005C5548">
        <w:rPr>
          <w:szCs w:val="22"/>
        </w:rPr>
        <w:tab/>
      </w:r>
      <w:r w:rsidRPr="005C5548">
        <w:rPr>
          <w:i/>
          <w:szCs w:val="22"/>
        </w:rPr>
        <w:t>Manufacturer Certification Documentation</w:t>
      </w:r>
      <w:r w:rsidRPr="005C5548">
        <w:rPr>
          <w:szCs w:val="22"/>
        </w:rPr>
        <w:t>.  If the emissions unit is a certified engine, documentation from the manufacturer that the engine is certified to meet the emission standards and information as required in 40 CFR parts 90, 1048, 1054, and 1060, as applicable.</w:t>
      </w:r>
    </w:p>
    <w:p w14:paraId="2F2596FA" w14:textId="2B9349F6" w:rsidR="005C5548" w:rsidRPr="005C5548" w:rsidRDefault="005C5548" w:rsidP="005C5548">
      <w:pPr>
        <w:ind w:left="720" w:hanging="360"/>
        <w:rPr>
          <w:szCs w:val="22"/>
        </w:rPr>
      </w:pPr>
      <w:r w:rsidRPr="005C5548">
        <w:rPr>
          <w:szCs w:val="22"/>
        </w:rPr>
        <w:t>d.</w:t>
      </w:r>
      <w:r w:rsidRPr="005C5548">
        <w:rPr>
          <w:szCs w:val="22"/>
        </w:rPr>
        <w:tab/>
      </w:r>
      <w:r w:rsidRPr="005C5548">
        <w:rPr>
          <w:i/>
          <w:szCs w:val="22"/>
        </w:rPr>
        <w:t>Documentation showing Compliance with Standards</w:t>
      </w:r>
      <w:r w:rsidRPr="005C5548">
        <w:rPr>
          <w:szCs w:val="22"/>
        </w:rPr>
        <w:t xml:space="preserve">.  If the SI ICE is not a certified engine or is a certified engine operating in a non-certified manner and subject to Specific Condition </w:t>
      </w:r>
      <w:r w:rsidR="00D91CD3" w:rsidRPr="00D91CD3">
        <w:rPr>
          <w:b/>
          <w:szCs w:val="22"/>
        </w:rPr>
        <w:fldChar w:fldCharType="begin"/>
      </w:r>
      <w:r w:rsidR="00D91CD3" w:rsidRPr="00D91CD3">
        <w:rPr>
          <w:b/>
          <w:szCs w:val="22"/>
        </w:rPr>
        <w:instrText xml:space="preserve"> REF _Ref520799243 \r \h </w:instrText>
      </w:r>
      <w:r w:rsidR="00D91CD3">
        <w:rPr>
          <w:b/>
          <w:szCs w:val="22"/>
        </w:rPr>
        <w:instrText xml:space="preserve"> \* MERGEFORMAT </w:instrText>
      </w:r>
      <w:r w:rsidR="00D91CD3" w:rsidRPr="00D91CD3">
        <w:rPr>
          <w:b/>
          <w:szCs w:val="22"/>
        </w:rPr>
      </w:r>
      <w:r w:rsidR="00D91CD3" w:rsidRPr="00D91CD3">
        <w:rPr>
          <w:b/>
          <w:szCs w:val="22"/>
        </w:rPr>
        <w:fldChar w:fldCharType="separate"/>
      </w:r>
      <w:r w:rsidR="00D31800">
        <w:rPr>
          <w:b/>
          <w:szCs w:val="22"/>
        </w:rPr>
        <w:t xml:space="preserve">I.7. </w:t>
      </w:r>
      <w:r w:rsidR="00D91CD3" w:rsidRPr="00D91CD3">
        <w:rPr>
          <w:b/>
          <w:szCs w:val="22"/>
        </w:rPr>
        <w:fldChar w:fldCharType="end"/>
      </w:r>
      <w:proofErr w:type="gramStart"/>
      <w:r w:rsidRPr="005C5548">
        <w:rPr>
          <w:szCs w:val="22"/>
        </w:rPr>
        <w:t>a.(</w:t>
      </w:r>
      <w:proofErr w:type="gramEnd"/>
      <w:r w:rsidRPr="005C5548">
        <w:rPr>
          <w:szCs w:val="22"/>
        </w:rPr>
        <w:t>2), documentation that the engine meets the emission standards.</w:t>
      </w:r>
    </w:p>
    <w:p w14:paraId="501DCF2F" w14:textId="77777777" w:rsidR="005C5548" w:rsidRPr="005C5548" w:rsidRDefault="005C5548" w:rsidP="005C5548">
      <w:pPr>
        <w:spacing w:after="120"/>
        <w:ind w:left="360"/>
        <w:rPr>
          <w:szCs w:val="22"/>
        </w:rPr>
      </w:pPr>
      <w:r w:rsidRPr="005C5548">
        <w:rPr>
          <w:bCs/>
          <w:caps/>
          <w:szCs w:val="22"/>
        </w:rPr>
        <w:t>[</w:t>
      </w:r>
      <w:r w:rsidRPr="005C5548">
        <w:rPr>
          <w:szCs w:val="22"/>
        </w:rPr>
        <w:t xml:space="preserve">Rule 62-213.440(1), F.A.C., and </w:t>
      </w:r>
      <w:r w:rsidRPr="005C5548">
        <w:rPr>
          <w:bCs/>
          <w:caps/>
          <w:szCs w:val="22"/>
        </w:rPr>
        <w:t>40 CFR 60.4245(</w:t>
      </w:r>
      <w:r w:rsidRPr="005C5548">
        <w:rPr>
          <w:szCs w:val="22"/>
        </w:rPr>
        <w:t>a</w:t>
      </w:r>
      <w:r w:rsidRPr="005C5548">
        <w:rPr>
          <w:bCs/>
          <w:caps/>
          <w:szCs w:val="22"/>
        </w:rPr>
        <w:t>)]</w:t>
      </w:r>
    </w:p>
    <w:p w14:paraId="22A21A2A" w14:textId="77777777" w:rsidR="005C5548" w:rsidRPr="005C5548" w:rsidRDefault="005C5548" w:rsidP="00C75EEC">
      <w:pPr>
        <w:numPr>
          <w:ilvl w:val="0"/>
          <w:numId w:val="123"/>
        </w:numPr>
        <w:tabs>
          <w:tab w:val="clear" w:pos="720"/>
        </w:tabs>
        <w:spacing w:after="120"/>
        <w:ind w:left="360" w:hanging="360"/>
        <w:rPr>
          <w:b/>
          <w:bCs/>
          <w:caps/>
          <w:szCs w:val="22"/>
        </w:rPr>
      </w:pPr>
      <w:r w:rsidRPr="005C5548">
        <w:rPr>
          <w:szCs w:val="22"/>
          <w:u w:val="single"/>
        </w:rPr>
        <w:t>Performance Test Reports</w:t>
      </w:r>
      <w:r w:rsidRPr="005C5548">
        <w:rPr>
          <w:szCs w:val="22"/>
        </w:rPr>
        <w:t>.  Owners and operators of stationary SI ICE that are subject to performance testing must submit a copy of each performance test within 60 days after the test has been completed.  [40 CFR 60.6245(d)]</w:t>
      </w:r>
    </w:p>
    <w:p w14:paraId="3FD279CD" w14:textId="77777777" w:rsidR="005C5548" w:rsidRPr="005C5548" w:rsidRDefault="005C5548" w:rsidP="00C75EEC">
      <w:pPr>
        <w:numPr>
          <w:ilvl w:val="0"/>
          <w:numId w:val="123"/>
        </w:numPr>
        <w:tabs>
          <w:tab w:val="clear" w:pos="720"/>
        </w:tabs>
        <w:ind w:left="360" w:hanging="360"/>
        <w:rPr>
          <w:b/>
          <w:bCs/>
          <w:caps/>
          <w:szCs w:val="22"/>
        </w:rPr>
      </w:pPr>
      <w:r w:rsidRPr="005C5548">
        <w:rPr>
          <w:szCs w:val="22"/>
          <w:u w:val="single"/>
        </w:rPr>
        <w:t>Other Reporting Requirements</w:t>
      </w:r>
      <w:r w:rsidRPr="005C5548">
        <w:rPr>
          <w:szCs w:val="22"/>
        </w:rPr>
        <w:t xml:space="preserve">.  See </w:t>
      </w:r>
      <w:r w:rsidRPr="005C5548">
        <w:rPr>
          <w:bCs/>
          <w:szCs w:val="22"/>
        </w:rPr>
        <w:t>Appendix RR, Facility-Wide Reporting Requirements</w:t>
      </w:r>
      <w:r w:rsidRPr="005C5548">
        <w:rPr>
          <w:szCs w:val="22"/>
        </w:rPr>
        <w:t>, for additional reporting requirements.  [Rule 62-213.440(1)(b), F.A.C.]</w:t>
      </w:r>
    </w:p>
    <w:p w14:paraId="36D5E941" w14:textId="77777777" w:rsidR="005C5548" w:rsidRPr="005C5548" w:rsidRDefault="005C5548" w:rsidP="005C5548">
      <w:pPr>
        <w:tabs>
          <w:tab w:val="left" w:pos="0"/>
        </w:tabs>
        <w:suppressAutoHyphens/>
        <w:spacing w:before="120" w:after="120"/>
        <w:rPr>
          <w:b/>
          <w:szCs w:val="22"/>
          <w:u w:val="single"/>
        </w:rPr>
      </w:pPr>
      <w:r w:rsidRPr="005C5548">
        <w:rPr>
          <w:b/>
          <w:szCs w:val="22"/>
          <w:u w:val="single"/>
        </w:rPr>
        <w:t>General Provisions</w:t>
      </w:r>
    </w:p>
    <w:p w14:paraId="476237CE" w14:textId="4B1B6354" w:rsidR="005C5548" w:rsidRPr="005C5548" w:rsidRDefault="005C5548" w:rsidP="00C75EEC">
      <w:pPr>
        <w:numPr>
          <w:ilvl w:val="0"/>
          <w:numId w:val="123"/>
        </w:numPr>
        <w:tabs>
          <w:tab w:val="clear" w:pos="720"/>
        </w:tabs>
        <w:spacing w:after="100" w:afterAutospacing="1"/>
        <w:ind w:left="360" w:hanging="360"/>
        <w:rPr>
          <w:szCs w:val="22"/>
        </w:rPr>
      </w:pPr>
      <w:r w:rsidRPr="005C5548">
        <w:rPr>
          <w:szCs w:val="22"/>
          <w:u w:val="single"/>
        </w:rPr>
        <w:t>40 CFR 60 Subpart A, General Provisions</w:t>
      </w:r>
      <w:r w:rsidRPr="005C5548">
        <w:rPr>
          <w:szCs w:val="22"/>
        </w:rPr>
        <w:t xml:space="preserve">.  The owner or operator shall comply with the applicable requirements of 40 CFR 60 Subpart A, General Provisions, as specified below.  </w:t>
      </w:r>
      <w:r w:rsidRPr="005C5548">
        <w:rPr>
          <w:szCs w:val="22"/>
        </w:rPr>
        <w:br/>
      </w:r>
      <w:hyperlink r:id="rId81" w:history="1">
        <w:r w:rsidRPr="005C5548">
          <w:rPr>
            <w:color w:val="0000FF"/>
            <w:szCs w:val="22"/>
            <w:u w:val="single"/>
          </w:rPr>
          <w:t>Link to Subpart A</w:t>
        </w:r>
      </w:hyperlink>
      <w:r w:rsidRPr="005C5548">
        <w:rPr>
          <w:szCs w:val="22"/>
        </w:rPr>
        <w:t xml:space="preserve"> and  </w:t>
      </w:r>
      <w:hyperlink r:id="rId82" w:history="1">
        <w:r w:rsidRPr="005C5548">
          <w:rPr>
            <w:color w:val="0000FF"/>
            <w:szCs w:val="22"/>
            <w:u w:val="single"/>
          </w:rPr>
          <w:t>Link to Subpart JJJJ</w:t>
        </w:r>
      </w:hyperlink>
      <w:r w:rsidR="00DC5409" w:rsidRPr="00DC5409">
        <w:rPr>
          <w:szCs w:val="22"/>
        </w:rPr>
        <w:t>.</w:t>
      </w:r>
    </w:p>
    <w:tbl>
      <w:tblPr>
        <w:tblW w:w="4836" w:type="pct"/>
        <w:tblInd w:w="345" w:type="dxa"/>
        <w:tblBorders>
          <w:top w:val="outset" w:sz="6" w:space="0" w:color="auto"/>
          <w:left w:val="outset" w:sz="6" w:space="0" w:color="auto"/>
          <w:bottom w:val="outset" w:sz="6" w:space="0" w:color="auto"/>
          <w:right w:val="outset" w:sz="6" w:space="0" w:color="auto"/>
        </w:tblBorders>
        <w:tblCellMar>
          <w:top w:w="120" w:type="dxa"/>
          <w:left w:w="15" w:type="dxa"/>
          <w:bottom w:w="15" w:type="dxa"/>
          <w:right w:w="15" w:type="dxa"/>
        </w:tblCellMar>
        <w:tblLook w:val="04A0" w:firstRow="1" w:lastRow="0" w:firstColumn="1" w:lastColumn="0" w:noHBand="0" w:noVBand="1"/>
      </w:tblPr>
      <w:tblGrid>
        <w:gridCol w:w="1505"/>
        <w:gridCol w:w="3789"/>
        <w:gridCol w:w="4426"/>
      </w:tblGrid>
      <w:tr w:rsidR="005C5548" w:rsidRPr="005C5548" w14:paraId="7B662C85" w14:textId="77777777" w:rsidTr="00C75EEC">
        <w:trPr>
          <w:tblHeader/>
        </w:trPr>
        <w:tc>
          <w:tcPr>
            <w:tcW w:w="774" w:type="pct"/>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1E03C7D5" w14:textId="77777777" w:rsidR="005C5548" w:rsidRPr="005C5548" w:rsidRDefault="005C5548" w:rsidP="005C5548">
            <w:pPr>
              <w:ind w:right="-18"/>
              <w:jc w:val="center"/>
              <w:rPr>
                <w:b/>
                <w:szCs w:val="22"/>
              </w:rPr>
            </w:pPr>
            <w:r w:rsidRPr="005C5548">
              <w:rPr>
                <w:b/>
                <w:szCs w:val="22"/>
              </w:rPr>
              <w:t>General provisions citation</w:t>
            </w:r>
          </w:p>
        </w:tc>
        <w:tc>
          <w:tcPr>
            <w:tcW w:w="1949" w:type="pct"/>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121602BC" w14:textId="77777777" w:rsidR="005C5548" w:rsidRPr="005C5548" w:rsidRDefault="005C5548" w:rsidP="005C5548">
            <w:pPr>
              <w:ind w:right="-18"/>
              <w:jc w:val="center"/>
              <w:rPr>
                <w:b/>
                <w:szCs w:val="22"/>
              </w:rPr>
            </w:pPr>
            <w:r w:rsidRPr="005C5548">
              <w:rPr>
                <w:b/>
                <w:szCs w:val="22"/>
              </w:rPr>
              <w:t>Subject of citation</w:t>
            </w:r>
          </w:p>
        </w:tc>
        <w:tc>
          <w:tcPr>
            <w:tcW w:w="2277" w:type="pct"/>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71739D4B" w14:textId="77777777" w:rsidR="005C5548" w:rsidRPr="005C5548" w:rsidRDefault="005C5548" w:rsidP="005C5548">
            <w:pPr>
              <w:ind w:right="-18"/>
              <w:jc w:val="center"/>
              <w:rPr>
                <w:b/>
                <w:szCs w:val="22"/>
              </w:rPr>
            </w:pPr>
            <w:r w:rsidRPr="005C5548">
              <w:rPr>
                <w:b/>
                <w:szCs w:val="22"/>
              </w:rPr>
              <w:t>Explanation</w:t>
            </w:r>
          </w:p>
        </w:tc>
      </w:tr>
      <w:tr w:rsidR="005C5548" w:rsidRPr="005C5548" w14:paraId="513BBC01" w14:textId="77777777" w:rsidTr="00C75EEC">
        <w:tc>
          <w:tcPr>
            <w:tcW w:w="774" w:type="pct"/>
            <w:tcBorders>
              <w:top w:val="single" w:sz="12" w:space="0" w:color="000000"/>
              <w:left w:val="single" w:sz="12" w:space="0" w:color="000000"/>
              <w:bottom w:val="single" w:sz="6" w:space="0" w:color="000000"/>
              <w:right w:val="single" w:sz="12" w:space="0" w:color="000000"/>
            </w:tcBorders>
            <w:vAlign w:val="center"/>
            <w:hideMark/>
          </w:tcPr>
          <w:p w14:paraId="19C6E846" w14:textId="77777777" w:rsidR="005C5548" w:rsidRPr="005C5548" w:rsidRDefault="005C5548" w:rsidP="005C5548">
            <w:pPr>
              <w:jc w:val="center"/>
              <w:rPr>
                <w:szCs w:val="22"/>
              </w:rPr>
            </w:pPr>
            <w:r w:rsidRPr="005C5548">
              <w:rPr>
                <w:szCs w:val="22"/>
              </w:rPr>
              <w:t>§ 60.1</w:t>
            </w:r>
          </w:p>
        </w:tc>
        <w:tc>
          <w:tcPr>
            <w:tcW w:w="1949" w:type="pct"/>
            <w:tcBorders>
              <w:top w:val="single" w:sz="12" w:space="0" w:color="000000"/>
              <w:left w:val="single" w:sz="12" w:space="0" w:color="000000"/>
              <w:bottom w:val="single" w:sz="6" w:space="0" w:color="000000"/>
              <w:right w:val="single" w:sz="12" w:space="0" w:color="000000"/>
            </w:tcBorders>
            <w:vAlign w:val="center"/>
            <w:hideMark/>
          </w:tcPr>
          <w:p w14:paraId="7EC985F0" w14:textId="77777777" w:rsidR="005C5548" w:rsidRPr="005C5548" w:rsidRDefault="005C5548" w:rsidP="005C5548">
            <w:pPr>
              <w:jc w:val="center"/>
              <w:rPr>
                <w:szCs w:val="22"/>
              </w:rPr>
            </w:pPr>
            <w:r w:rsidRPr="005C5548">
              <w:rPr>
                <w:szCs w:val="22"/>
              </w:rPr>
              <w:t>General applicability of the General Provisions</w:t>
            </w:r>
          </w:p>
        </w:tc>
        <w:tc>
          <w:tcPr>
            <w:tcW w:w="2277" w:type="pct"/>
            <w:tcBorders>
              <w:top w:val="single" w:sz="12" w:space="0" w:color="000000"/>
              <w:left w:val="single" w:sz="12" w:space="0" w:color="000000"/>
              <w:bottom w:val="single" w:sz="6" w:space="0" w:color="000000"/>
              <w:right w:val="single" w:sz="12" w:space="0" w:color="000000"/>
            </w:tcBorders>
            <w:vAlign w:val="center"/>
            <w:hideMark/>
          </w:tcPr>
          <w:p w14:paraId="14245774" w14:textId="77777777" w:rsidR="005C5548" w:rsidRPr="005C5548" w:rsidRDefault="005C5548" w:rsidP="005C5548">
            <w:pPr>
              <w:jc w:val="center"/>
              <w:rPr>
                <w:szCs w:val="22"/>
              </w:rPr>
            </w:pPr>
          </w:p>
        </w:tc>
      </w:tr>
      <w:tr w:rsidR="005C5548" w:rsidRPr="005C5548" w14:paraId="1861D1A7" w14:textId="77777777" w:rsidTr="00C75EEC">
        <w:tc>
          <w:tcPr>
            <w:tcW w:w="774" w:type="pct"/>
            <w:tcBorders>
              <w:top w:val="single" w:sz="6" w:space="0" w:color="000000"/>
              <w:left w:val="single" w:sz="12" w:space="0" w:color="000000"/>
              <w:bottom w:val="single" w:sz="6" w:space="0" w:color="000000"/>
              <w:right w:val="single" w:sz="12" w:space="0" w:color="000000"/>
            </w:tcBorders>
            <w:vAlign w:val="center"/>
            <w:hideMark/>
          </w:tcPr>
          <w:p w14:paraId="7BA85B69" w14:textId="77777777" w:rsidR="005C5548" w:rsidRPr="005C5548" w:rsidRDefault="005C5548" w:rsidP="005C5548">
            <w:pPr>
              <w:jc w:val="center"/>
              <w:rPr>
                <w:szCs w:val="22"/>
              </w:rPr>
            </w:pPr>
            <w:r w:rsidRPr="005C5548">
              <w:rPr>
                <w:szCs w:val="22"/>
              </w:rPr>
              <w:t>§ 60.2</w:t>
            </w:r>
          </w:p>
        </w:tc>
        <w:tc>
          <w:tcPr>
            <w:tcW w:w="1949" w:type="pct"/>
            <w:tcBorders>
              <w:top w:val="single" w:sz="6" w:space="0" w:color="000000"/>
              <w:left w:val="single" w:sz="12" w:space="0" w:color="000000"/>
              <w:bottom w:val="single" w:sz="6" w:space="0" w:color="000000"/>
              <w:right w:val="single" w:sz="12" w:space="0" w:color="000000"/>
            </w:tcBorders>
            <w:vAlign w:val="center"/>
            <w:hideMark/>
          </w:tcPr>
          <w:p w14:paraId="04C7BE50" w14:textId="77777777" w:rsidR="005C5548" w:rsidRPr="005C5548" w:rsidRDefault="005C5548" w:rsidP="005C5548">
            <w:pPr>
              <w:jc w:val="center"/>
              <w:rPr>
                <w:szCs w:val="22"/>
              </w:rPr>
            </w:pPr>
            <w:r w:rsidRPr="005C5548">
              <w:rPr>
                <w:szCs w:val="22"/>
              </w:rPr>
              <w:t>Definitions</w:t>
            </w:r>
          </w:p>
        </w:tc>
        <w:tc>
          <w:tcPr>
            <w:tcW w:w="2277" w:type="pct"/>
            <w:tcBorders>
              <w:top w:val="single" w:sz="6" w:space="0" w:color="000000"/>
              <w:left w:val="single" w:sz="12" w:space="0" w:color="000000"/>
              <w:bottom w:val="single" w:sz="6" w:space="0" w:color="000000"/>
              <w:right w:val="single" w:sz="12" w:space="0" w:color="000000"/>
            </w:tcBorders>
            <w:vAlign w:val="center"/>
            <w:hideMark/>
          </w:tcPr>
          <w:p w14:paraId="7DDCBD94" w14:textId="77777777" w:rsidR="005C5548" w:rsidRPr="005C5548" w:rsidRDefault="005C5548" w:rsidP="005C5548">
            <w:pPr>
              <w:ind w:left="147"/>
              <w:rPr>
                <w:szCs w:val="22"/>
              </w:rPr>
            </w:pPr>
            <w:r w:rsidRPr="005C5548">
              <w:rPr>
                <w:szCs w:val="22"/>
              </w:rPr>
              <w:t>Additional terms defined in § 60.4248.</w:t>
            </w:r>
          </w:p>
        </w:tc>
      </w:tr>
      <w:tr w:rsidR="005C5548" w:rsidRPr="005C5548" w14:paraId="2A1C9BB6" w14:textId="77777777" w:rsidTr="00C75EEC">
        <w:tc>
          <w:tcPr>
            <w:tcW w:w="774" w:type="pct"/>
            <w:tcBorders>
              <w:top w:val="single" w:sz="6" w:space="0" w:color="000000"/>
              <w:left w:val="single" w:sz="12" w:space="0" w:color="000000"/>
              <w:bottom w:val="single" w:sz="6" w:space="0" w:color="000000"/>
              <w:right w:val="single" w:sz="12" w:space="0" w:color="000000"/>
            </w:tcBorders>
            <w:vAlign w:val="center"/>
            <w:hideMark/>
          </w:tcPr>
          <w:p w14:paraId="7BB4A2F2" w14:textId="77777777" w:rsidR="005C5548" w:rsidRPr="005C5548" w:rsidRDefault="005C5548" w:rsidP="005C5548">
            <w:pPr>
              <w:jc w:val="center"/>
              <w:rPr>
                <w:szCs w:val="22"/>
              </w:rPr>
            </w:pPr>
            <w:r w:rsidRPr="005C5548">
              <w:rPr>
                <w:szCs w:val="22"/>
              </w:rPr>
              <w:t>§ 60.3</w:t>
            </w:r>
          </w:p>
        </w:tc>
        <w:tc>
          <w:tcPr>
            <w:tcW w:w="1949" w:type="pct"/>
            <w:tcBorders>
              <w:top w:val="single" w:sz="6" w:space="0" w:color="000000"/>
              <w:left w:val="single" w:sz="12" w:space="0" w:color="000000"/>
              <w:bottom w:val="single" w:sz="6" w:space="0" w:color="000000"/>
              <w:right w:val="single" w:sz="12" w:space="0" w:color="000000"/>
            </w:tcBorders>
            <w:vAlign w:val="center"/>
            <w:hideMark/>
          </w:tcPr>
          <w:p w14:paraId="5BDC0F5B" w14:textId="77777777" w:rsidR="005C5548" w:rsidRPr="005C5548" w:rsidRDefault="005C5548" w:rsidP="005C5548">
            <w:pPr>
              <w:jc w:val="center"/>
              <w:rPr>
                <w:szCs w:val="22"/>
              </w:rPr>
            </w:pPr>
            <w:r w:rsidRPr="005C5548">
              <w:rPr>
                <w:szCs w:val="22"/>
              </w:rPr>
              <w:t>Units and abbreviations</w:t>
            </w:r>
          </w:p>
        </w:tc>
        <w:tc>
          <w:tcPr>
            <w:tcW w:w="2277" w:type="pct"/>
            <w:tcBorders>
              <w:top w:val="single" w:sz="6" w:space="0" w:color="000000"/>
              <w:left w:val="single" w:sz="12" w:space="0" w:color="000000"/>
              <w:bottom w:val="single" w:sz="6" w:space="0" w:color="000000"/>
              <w:right w:val="single" w:sz="12" w:space="0" w:color="000000"/>
            </w:tcBorders>
            <w:vAlign w:val="center"/>
            <w:hideMark/>
          </w:tcPr>
          <w:p w14:paraId="2445F033" w14:textId="77777777" w:rsidR="005C5548" w:rsidRPr="005C5548" w:rsidRDefault="005C5548" w:rsidP="005C5548">
            <w:pPr>
              <w:ind w:left="237"/>
              <w:rPr>
                <w:szCs w:val="22"/>
              </w:rPr>
            </w:pPr>
          </w:p>
        </w:tc>
      </w:tr>
      <w:tr w:rsidR="005C5548" w:rsidRPr="005C5548" w14:paraId="6435008F" w14:textId="77777777" w:rsidTr="00C75EEC">
        <w:tc>
          <w:tcPr>
            <w:tcW w:w="774" w:type="pct"/>
            <w:tcBorders>
              <w:top w:val="single" w:sz="6" w:space="0" w:color="000000"/>
              <w:left w:val="single" w:sz="12" w:space="0" w:color="000000"/>
              <w:bottom w:val="single" w:sz="6" w:space="0" w:color="000000"/>
              <w:right w:val="single" w:sz="12" w:space="0" w:color="000000"/>
            </w:tcBorders>
            <w:vAlign w:val="center"/>
            <w:hideMark/>
          </w:tcPr>
          <w:p w14:paraId="268E5E06" w14:textId="77777777" w:rsidR="005C5548" w:rsidRPr="005C5548" w:rsidRDefault="005C5548" w:rsidP="005C5548">
            <w:pPr>
              <w:jc w:val="center"/>
              <w:rPr>
                <w:szCs w:val="22"/>
              </w:rPr>
            </w:pPr>
            <w:r w:rsidRPr="005C5548">
              <w:rPr>
                <w:szCs w:val="22"/>
              </w:rPr>
              <w:t>§ 60.4</w:t>
            </w:r>
          </w:p>
        </w:tc>
        <w:tc>
          <w:tcPr>
            <w:tcW w:w="1949" w:type="pct"/>
            <w:tcBorders>
              <w:top w:val="single" w:sz="6" w:space="0" w:color="000000"/>
              <w:left w:val="single" w:sz="12" w:space="0" w:color="000000"/>
              <w:bottom w:val="single" w:sz="6" w:space="0" w:color="000000"/>
              <w:right w:val="single" w:sz="12" w:space="0" w:color="000000"/>
            </w:tcBorders>
            <w:vAlign w:val="center"/>
            <w:hideMark/>
          </w:tcPr>
          <w:p w14:paraId="3EB9DBE7" w14:textId="77777777" w:rsidR="005C5548" w:rsidRPr="005C5548" w:rsidRDefault="005C5548" w:rsidP="005C5548">
            <w:pPr>
              <w:jc w:val="center"/>
              <w:rPr>
                <w:szCs w:val="22"/>
              </w:rPr>
            </w:pPr>
            <w:r w:rsidRPr="005C5548">
              <w:rPr>
                <w:szCs w:val="22"/>
              </w:rPr>
              <w:t>Address</w:t>
            </w:r>
          </w:p>
        </w:tc>
        <w:tc>
          <w:tcPr>
            <w:tcW w:w="2277" w:type="pct"/>
            <w:tcBorders>
              <w:top w:val="single" w:sz="6" w:space="0" w:color="000000"/>
              <w:left w:val="single" w:sz="12" w:space="0" w:color="000000"/>
              <w:bottom w:val="single" w:sz="6" w:space="0" w:color="000000"/>
              <w:right w:val="single" w:sz="12" w:space="0" w:color="000000"/>
            </w:tcBorders>
            <w:vAlign w:val="center"/>
            <w:hideMark/>
          </w:tcPr>
          <w:p w14:paraId="7B3610F2" w14:textId="77777777" w:rsidR="005C5548" w:rsidRPr="005C5548" w:rsidRDefault="005C5548" w:rsidP="005C5548">
            <w:pPr>
              <w:ind w:left="237"/>
              <w:rPr>
                <w:szCs w:val="22"/>
              </w:rPr>
            </w:pPr>
          </w:p>
        </w:tc>
      </w:tr>
      <w:tr w:rsidR="005C5548" w:rsidRPr="005C5548" w14:paraId="721EDA49" w14:textId="77777777" w:rsidTr="00C75EEC">
        <w:tc>
          <w:tcPr>
            <w:tcW w:w="774" w:type="pct"/>
            <w:tcBorders>
              <w:top w:val="single" w:sz="6" w:space="0" w:color="000000"/>
              <w:left w:val="single" w:sz="12" w:space="0" w:color="000000"/>
              <w:bottom w:val="single" w:sz="6" w:space="0" w:color="000000"/>
              <w:right w:val="single" w:sz="12" w:space="0" w:color="000000"/>
            </w:tcBorders>
            <w:vAlign w:val="center"/>
            <w:hideMark/>
          </w:tcPr>
          <w:p w14:paraId="60635679" w14:textId="77777777" w:rsidR="005C5548" w:rsidRPr="005C5548" w:rsidRDefault="005C5548" w:rsidP="005C5548">
            <w:pPr>
              <w:jc w:val="center"/>
              <w:rPr>
                <w:szCs w:val="22"/>
              </w:rPr>
            </w:pPr>
            <w:r w:rsidRPr="005C5548">
              <w:rPr>
                <w:szCs w:val="22"/>
              </w:rPr>
              <w:t>§ 60.5</w:t>
            </w:r>
          </w:p>
        </w:tc>
        <w:tc>
          <w:tcPr>
            <w:tcW w:w="1949" w:type="pct"/>
            <w:tcBorders>
              <w:top w:val="single" w:sz="6" w:space="0" w:color="000000"/>
              <w:left w:val="single" w:sz="12" w:space="0" w:color="000000"/>
              <w:bottom w:val="single" w:sz="6" w:space="0" w:color="000000"/>
              <w:right w:val="single" w:sz="12" w:space="0" w:color="000000"/>
            </w:tcBorders>
            <w:vAlign w:val="center"/>
            <w:hideMark/>
          </w:tcPr>
          <w:p w14:paraId="5DF948B5" w14:textId="77777777" w:rsidR="005C5548" w:rsidRPr="005C5548" w:rsidRDefault="005C5548" w:rsidP="005C5548">
            <w:pPr>
              <w:jc w:val="center"/>
              <w:rPr>
                <w:szCs w:val="22"/>
              </w:rPr>
            </w:pPr>
            <w:r w:rsidRPr="005C5548">
              <w:rPr>
                <w:szCs w:val="22"/>
              </w:rPr>
              <w:t>Determination of construction or modification</w:t>
            </w:r>
          </w:p>
        </w:tc>
        <w:tc>
          <w:tcPr>
            <w:tcW w:w="2277" w:type="pct"/>
            <w:tcBorders>
              <w:top w:val="single" w:sz="6" w:space="0" w:color="000000"/>
              <w:left w:val="single" w:sz="12" w:space="0" w:color="000000"/>
              <w:bottom w:val="single" w:sz="6" w:space="0" w:color="000000"/>
              <w:right w:val="single" w:sz="12" w:space="0" w:color="000000"/>
            </w:tcBorders>
            <w:vAlign w:val="center"/>
            <w:hideMark/>
          </w:tcPr>
          <w:p w14:paraId="3F671F0C" w14:textId="77777777" w:rsidR="005C5548" w:rsidRPr="005C5548" w:rsidRDefault="005C5548" w:rsidP="005C5548">
            <w:pPr>
              <w:ind w:left="237"/>
              <w:rPr>
                <w:szCs w:val="22"/>
              </w:rPr>
            </w:pPr>
          </w:p>
        </w:tc>
      </w:tr>
      <w:tr w:rsidR="005C5548" w:rsidRPr="005C5548" w14:paraId="0A8335CC" w14:textId="77777777" w:rsidTr="00C75EEC">
        <w:tc>
          <w:tcPr>
            <w:tcW w:w="774" w:type="pct"/>
            <w:tcBorders>
              <w:top w:val="single" w:sz="6" w:space="0" w:color="000000"/>
              <w:left w:val="single" w:sz="12" w:space="0" w:color="000000"/>
              <w:bottom w:val="single" w:sz="6" w:space="0" w:color="000000"/>
              <w:right w:val="single" w:sz="12" w:space="0" w:color="000000"/>
            </w:tcBorders>
            <w:vAlign w:val="center"/>
            <w:hideMark/>
          </w:tcPr>
          <w:p w14:paraId="24A914F0" w14:textId="77777777" w:rsidR="005C5548" w:rsidRPr="005C5548" w:rsidRDefault="005C5548" w:rsidP="005C5548">
            <w:pPr>
              <w:jc w:val="center"/>
              <w:rPr>
                <w:szCs w:val="22"/>
              </w:rPr>
            </w:pPr>
            <w:r w:rsidRPr="005C5548">
              <w:rPr>
                <w:szCs w:val="22"/>
              </w:rPr>
              <w:t>§ 60.6</w:t>
            </w:r>
          </w:p>
        </w:tc>
        <w:tc>
          <w:tcPr>
            <w:tcW w:w="1949" w:type="pct"/>
            <w:tcBorders>
              <w:top w:val="single" w:sz="6" w:space="0" w:color="000000"/>
              <w:left w:val="single" w:sz="12" w:space="0" w:color="000000"/>
              <w:bottom w:val="single" w:sz="6" w:space="0" w:color="000000"/>
              <w:right w:val="single" w:sz="12" w:space="0" w:color="000000"/>
            </w:tcBorders>
            <w:vAlign w:val="center"/>
            <w:hideMark/>
          </w:tcPr>
          <w:p w14:paraId="0594FCC1" w14:textId="77777777" w:rsidR="005C5548" w:rsidRPr="005C5548" w:rsidRDefault="005C5548" w:rsidP="005C5548">
            <w:pPr>
              <w:jc w:val="center"/>
              <w:rPr>
                <w:szCs w:val="22"/>
              </w:rPr>
            </w:pPr>
            <w:r w:rsidRPr="005C5548">
              <w:rPr>
                <w:szCs w:val="22"/>
              </w:rPr>
              <w:t>Review of plans</w:t>
            </w:r>
          </w:p>
        </w:tc>
        <w:tc>
          <w:tcPr>
            <w:tcW w:w="2277" w:type="pct"/>
            <w:tcBorders>
              <w:top w:val="single" w:sz="6" w:space="0" w:color="000000"/>
              <w:left w:val="single" w:sz="12" w:space="0" w:color="000000"/>
              <w:bottom w:val="single" w:sz="6" w:space="0" w:color="000000"/>
              <w:right w:val="single" w:sz="12" w:space="0" w:color="000000"/>
            </w:tcBorders>
            <w:vAlign w:val="center"/>
            <w:hideMark/>
          </w:tcPr>
          <w:p w14:paraId="3FB1291E" w14:textId="77777777" w:rsidR="005C5548" w:rsidRPr="005C5548" w:rsidRDefault="005C5548" w:rsidP="005C5548">
            <w:pPr>
              <w:ind w:left="237"/>
              <w:rPr>
                <w:szCs w:val="22"/>
              </w:rPr>
            </w:pPr>
          </w:p>
        </w:tc>
      </w:tr>
      <w:tr w:rsidR="005C5548" w:rsidRPr="005C5548" w14:paraId="12D793E3" w14:textId="77777777" w:rsidTr="00C75EEC">
        <w:tc>
          <w:tcPr>
            <w:tcW w:w="774" w:type="pct"/>
            <w:tcBorders>
              <w:top w:val="single" w:sz="6" w:space="0" w:color="000000"/>
              <w:left w:val="single" w:sz="12" w:space="0" w:color="000000"/>
              <w:bottom w:val="single" w:sz="6" w:space="0" w:color="000000"/>
              <w:right w:val="single" w:sz="12" w:space="0" w:color="000000"/>
            </w:tcBorders>
            <w:vAlign w:val="center"/>
            <w:hideMark/>
          </w:tcPr>
          <w:p w14:paraId="66B39B0A" w14:textId="77777777" w:rsidR="005C5548" w:rsidRPr="005C5548" w:rsidRDefault="005C5548" w:rsidP="005C5548">
            <w:pPr>
              <w:jc w:val="center"/>
              <w:rPr>
                <w:szCs w:val="22"/>
              </w:rPr>
            </w:pPr>
            <w:r w:rsidRPr="005C5548">
              <w:rPr>
                <w:szCs w:val="22"/>
              </w:rPr>
              <w:t>§ 60.7</w:t>
            </w:r>
          </w:p>
        </w:tc>
        <w:tc>
          <w:tcPr>
            <w:tcW w:w="1949" w:type="pct"/>
            <w:tcBorders>
              <w:top w:val="single" w:sz="6" w:space="0" w:color="000000"/>
              <w:left w:val="single" w:sz="12" w:space="0" w:color="000000"/>
              <w:bottom w:val="single" w:sz="6" w:space="0" w:color="000000"/>
              <w:right w:val="single" w:sz="12" w:space="0" w:color="000000"/>
            </w:tcBorders>
            <w:vAlign w:val="center"/>
            <w:hideMark/>
          </w:tcPr>
          <w:p w14:paraId="134FB6DC" w14:textId="77777777" w:rsidR="005C5548" w:rsidRPr="005C5548" w:rsidRDefault="005C5548" w:rsidP="005C5548">
            <w:pPr>
              <w:jc w:val="center"/>
              <w:rPr>
                <w:szCs w:val="22"/>
              </w:rPr>
            </w:pPr>
            <w:r w:rsidRPr="005C5548">
              <w:rPr>
                <w:szCs w:val="22"/>
              </w:rPr>
              <w:t>Notification and Recordkeeping</w:t>
            </w:r>
          </w:p>
        </w:tc>
        <w:tc>
          <w:tcPr>
            <w:tcW w:w="2277" w:type="pct"/>
            <w:tcBorders>
              <w:top w:val="single" w:sz="6" w:space="0" w:color="000000"/>
              <w:left w:val="single" w:sz="12" w:space="0" w:color="000000"/>
              <w:bottom w:val="single" w:sz="6" w:space="0" w:color="000000"/>
              <w:right w:val="single" w:sz="12" w:space="0" w:color="000000"/>
            </w:tcBorders>
            <w:vAlign w:val="center"/>
            <w:hideMark/>
          </w:tcPr>
          <w:p w14:paraId="7426E2CC" w14:textId="77777777" w:rsidR="005C5548" w:rsidRPr="005C5548" w:rsidRDefault="005C5548" w:rsidP="005C5548">
            <w:pPr>
              <w:ind w:left="147"/>
              <w:rPr>
                <w:szCs w:val="22"/>
              </w:rPr>
            </w:pPr>
            <w:r w:rsidRPr="005C5548">
              <w:rPr>
                <w:szCs w:val="22"/>
              </w:rPr>
              <w:t>Except that § 60.7 only applies as specified in § 60.4245.</w:t>
            </w:r>
          </w:p>
        </w:tc>
      </w:tr>
      <w:tr w:rsidR="005C5548" w:rsidRPr="005C5548" w14:paraId="0D3639ED" w14:textId="77777777" w:rsidTr="00C75EEC">
        <w:tc>
          <w:tcPr>
            <w:tcW w:w="774" w:type="pct"/>
            <w:tcBorders>
              <w:top w:val="single" w:sz="6" w:space="0" w:color="000000"/>
              <w:left w:val="single" w:sz="12" w:space="0" w:color="000000"/>
              <w:bottom w:val="single" w:sz="6" w:space="0" w:color="000000"/>
              <w:right w:val="single" w:sz="12" w:space="0" w:color="000000"/>
            </w:tcBorders>
            <w:vAlign w:val="center"/>
            <w:hideMark/>
          </w:tcPr>
          <w:p w14:paraId="735134F7" w14:textId="77777777" w:rsidR="005C5548" w:rsidRPr="005C5548" w:rsidRDefault="005C5548" w:rsidP="005C5548">
            <w:pPr>
              <w:jc w:val="center"/>
              <w:rPr>
                <w:szCs w:val="22"/>
              </w:rPr>
            </w:pPr>
            <w:r w:rsidRPr="005C5548">
              <w:rPr>
                <w:szCs w:val="22"/>
              </w:rPr>
              <w:t>§ 60.8</w:t>
            </w:r>
          </w:p>
        </w:tc>
        <w:tc>
          <w:tcPr>
            <w:tcW w:w="1949" w:type="pct"/>
            <w:tcBorders>
              <w:top w:val="single" w:sz="6" w:space="0" w:color="000000"/>
              <w:left w:val="single" w:sz="12" w:space="0" w:color="000000"/>
              <w:bottom w:val="single" w:sz="6" w:space="0" w:color="000000"/>
              <w:right w:val="single" w:sz="12" w:space="0" w:color="000000"/>
            </w:tcBorders>
            <w:vAlign w:val="center"/>
            <w:hideMark/>
          </w:tcPr>
          <w:p w14:paraId="0D69EF34" w14:textId="77777777" w:rsidR="005C5548" w:rsidRPr="005C5548" w:rsidRDefault="005C5548" w:rsidP="005C5548">
            <w:pPr>
              <w:jc w:val="center"/>
              <w:rPr>
                <w:szCs w:val="22"/>
              </w:rPr>
            </w:pPr>
            <w:r w:rsidRPr="005C5548">
              <w:rPr>
                <w:szCs w:val="22"/>
              </w:rPr>
              <w:t>Performance tests</w:t>
            </w:r>
          </w:p>
        </w:tc>
        <w:tc>
          <w:tcPr>
            <w:tcW w:w="2277" w:type="pct"/>
            <w:tcBorders>
              <w:top w:val="single" w:sz="6" w:space="0" w:color="000000"/>
              <w:left w:val="single" w:sz="12" w:space="0" w:color="000000"/>
              <w:bottom w:val="single" w:sz="6" w:space="0" w:color="000000"/>
              <w:right w:val="single" w:sz="12" w:space="0" w:color="000000"/>
            </w:tcBorders>
            <w:vAlign w:val="center"/>
            <w:hideMark/>
          </w:tcPr>
          <w:p w14:paraId="340A60F4" w14:textId="77777777" w:rsidR="005C5548" w:rsidRPr="005C5548" w:rsidRDefault="005C5548" w:rsidP="005C5548">
            <w:pPr>
              <w:ind w:left="147"/>
              <w:rPr>
                <w:szCs w:val="22"/>
              </w:rPr>
            </w:pPr>
            <w:r w:rsidRPr="005C5548">
              <w:rPr>
                <w:szCs w:val="22"/>
              </w:rPr>
              <w:t>Except that § 60.8 only applies to owners and operators who are subject to performance testing in subpart JJJJ.</w:t>
            </w:r>
          </w:p>
        </w:tc>
      </w:tr>
      <w:tr w:rsidR="005C5548" w:rsidRPr="005C5548" w14:paraId="1DA4AD92" w14:textId="77777777" w:rsidTr="00C75EEC">
        <w:tc>
          <w:tcPr>
            <w:tcW w:w="774" w:type="pct"/>
            <w:tcBorders>
              <w:top w:val="single" w:sz="6" w:space="0" w:color="000000"/>
              <w:left w:val="single" w:sz="12" w:space="0" w:color="000000"/>
              <w:bottom w:val="single" w:sz="6" w:space="0" w:color="000000"/>
              <w:right w:val="single" w:sz="12" w:space="0" w:color="000000"/>
            </w:tcBorders>
            <w:vAlign w:val="center"/>
            <w:hideMark/>
          </w:tcPr>
          <w:p w14:paraId="7458DEEF" w14:textId="77777777" w:rsidR="005C5548" w:rsidRPr="005C5548" w:rsidRDefault="005C5548" w:rsidP="005C5548">
            <w:pPr>
              <w:jc w:val="center"/>
              <w:rPr>
                <w:szCs w:val="22"/>
              </w:rPr>
            </w:pPr>
            <w:r w:rsidRPr="005C5548">
              <w:rPr>
                <w:szCs w:val="22"/>
              </w:rPr>
              <w:t>§ 60.9</w:t>
            </w:r>
          </w:p>
        </w:tc>
        <w:tc>
          <w:tcPr>
            <w:tcW w:w="1949" w:type="pct"/>
            <w:tcBorders>
              <w:top w:val="single" w:sz="6" w:space="0" w:color="000000"/>
              <w:left w:val="single" w:sz="12" w:space="0" w:color="000000"/>
              <w:bottom w:val="single" w:sz="6" w:space="0" w:color="000000"/>
              <w:right w:val="single" w:sz="12" w:space="0" w:color="000000"/>
            </w:tcBorders>
            <w:vAlign w:val="center"/>
            <w:hideMark/>
          </w:tcPr>
          <w:p w14:paraId="106D6C9D" w14:textId="77777777" w:rsidR="005C5548" w:rsidRPr="005C5548" w:rsidRDefault="005C5548" w:rsidP="005C5548">
            <w:pPr>
              <w:jc w:val="center"/>
              <w:rPr>
                <w:szCs w:val="22"/>
              </w:rPr>
            </w:pPr>
            <w:r w:rsidRPr="005C5548">
              <w:rPr>
                <w:szCs w:val="22"/>
              </w:rPr>
              <w:t>Availability of information</w:t>
            </w:r>
          </w:p>
        </w:tc>
        <w:tc>
          <w:tcPr>
            <w:tcW w:w="2277" w:type="pct"/>
            <w:tcBorders>
              <w:top w:val="single" w:sz="6" w:space="0" w:color="000000"/>
              <w:left w:val="single" w:sz="12" w:space="0" w:color="000000"/>
              <w:bottom w:val="single" w:sz="6" w:space="0" w:color="000000"/>
              <w:right w:val="single" w:sz="12" w:space="0" w:color="000000"/>
            </w:tcBorders>
            <w:vAlign w:val="center"/>
            <w:hideMark/>
          </w:tcPr>
          <w:p w14:paraId="50EC8B31" w14:textId="77777777" w:rsidR="005C5548" w:rsidRPr="005C5548" w:rsidRDefault="005C5548" w:rsidP="005C5548">
            <w:pPr>
              <w:ind w:left="237"/>
              <w:rPr>
                <w:szCs w:val="22"/>
              </w:rPr>
            </w:pPr>
          </w:p>
        </w:tc>
      </w:tr>
      <w:tr w:rsidR="005C5548" w:rsidRPr="005C5548" w14:paraId="4D980276" w14:textId="77777777" w:rsidTr="00C75EEC">
        <w:tc>
          <w:tcPr>
            <w:tcW w:w="774" w:type="pct"/>
            <w:tcBorders>
              <w:top w:val="single" w:sz="6" w:space="0" w:color="000000"/>
              <w:left w:val="single" w:sz="12" w:space="0" w:color="000000"/>
              <w:bottom w:val="single" w:sz="6" w:space="0" w:color="000000"/>
              <w:right w:val="single" w:sz="12" w:space="0" w:color="000000"/>
            </w:tcBorders>
            <w:vAlign w:val="center"/>
            <w:hideMark/>
          </w:tcPr>
          <w:p w14:paraId="51A37A8D" w14:textId="77777777" w:rsidR="005C5548" w:rsidRPr="005C5548" w:rsidRDefault="005C5548" w:rsidP="005C5548">
            <w:pPr>
              <w:jc w:val="center"/>
              <w:rPr>
                <w:szCs w:val="22"/>
              </w:rPr>
            </w:pPr>
            <w:r w:rsidRPr="005C5548">
              <w:rPr>
                <w:szCs w:val="22"/>
              </w:rPr>
              <w:t>§ 60.10</w:t>
            </w:r>
          </w:p>
        </w:tc>
        <w:tc>
          <w:tcPr>
            <w:tcW w:w="1949" w:type="pct"/>
            <w:tcBorders>
              <w:top w:val="single" w:sz="6" w:space="0" w:color="000000"/>
              <w:left w:val="single" w:sz="12" w:space="0" w:color="000000"/>
              <w:bottom w:val="single" w:sz="6" w:space="0" w:color="000000"/>
              <w:right w:val="single" w:sz="12" w:space="0" w:color="000000"/>
            </w:tcBorders>
            <w:vAlign w:val="center"/>
            <w:hideMark/>
          </w:tcPr>
          <w:p w14:paraId="07A15C20" w14:textId="77777777" w:rsidR="005C5548" w:rsidRPr="005C5548" w:rsidRDefault="005C5548" w:rsidP="005C5548">
            <w:pPr>
              <w:jc w:val="center"/>
              <w:rPr>
                <w:szCs w:val="22"/>
              </w:rPr>
            </w:pPr>
            <w:r w:rsidRPr="005C5548">
              <w:rPr>
                <w:szCs w:val="22"/>
              </w:rPr>
              <w:t>State Authority</w:t>
            </w:r>
          </w:p>
        </w:tc>
        <w:tc>
          <w:tcPr>
            <w:tcW w:w="2277" w:type="pct"/>
            <w:tcBorders>
              <w:top w:val="single" w:sz="6" w:space="0" w:color="000000"/>
              <w:left w:val="single" w:sz="12" w:space="0" w:color="000000"/>
              <w:bottom w:val="single" w:sz="6" w:space="0" w:color="000000"/>
              <w:right w:val="single" w:sz="12" w:space="0" w:color="000000"/>
            </w:tcBorders>
            <w:vAlign w:val="center"/>
            <w:hideMark/>
          </w:tcPr>
          <w:p w14:paraId="5457F67D" w14:textId="77777777" w:rsidR="005C5548" w:rsidRPr="005C5548" w:rsidRDefault="005C5548" w:rsidP="005C5548">
            <w:pPr>
              <w:ind w:left="237"/>
              <w:rPr>
                <w:szCs w:val="22"/>
              </w:rPr>
            </w:pPr>
          </w:p>
        </w:tc>
      </w:tr>
      <w:tr w:rsidR="005C5548" w:rsidRPr="005C5548" w14:paraId="65CB6DDA" w14:textId="77777777" w:rsidTr="00C75EEC">
        <w:tc>
          <w:tcPr>
            <w:tcW w:w="774" w:type="pct"/>
            <w:tcBorders>
              <w:top w:val="single" w:sz="6" w:space="0" w:color="000000"/>
              <w:left w:val="single" w:sz="12" w:space="0" w:color="000000"/>
              <w:bottom w:val="single" w:sz="6" w:space="0" w:color="000000"/>
              <w:right w:val="single" w:sz="12" w:space="0" w:color="000000"/>
            </w:tcBorders>
            <w:vAlign w:val="center"/>
            <w:hideMark/>
          </w:tcPr>
          <w:p w14:paraId="5BA335AB" w14:textId="77777777" w:rsidR="005C5548" w:rsidRPr="005C5548" w:rsidRDefault="005C5548" w:rsidP="005C5548">
            <w:pPr>
              <w:jc w:val="center"/>
              <w:rPr>
                <w:szCs w:val="22"/>
              </w:rPr>
            </w:pPr>
            <w:r w:rsidRPr="005C5548">
              <w:rPr>
                <w:szCs w:val="22"/>
              </w:rPr>
              <w:t>§ 60.11</w:t>
            </w:r>
          </w:p>
        </w:tc>
        <w:tc>
          <w:tcPr>
            <w:tcW w:w="1949" w:type="pct"/>
            <w:tcBorders>
              <w:top w:val="single" w:sz="6" w:space="0" w:color="000000"/>
              <w:left w:val="single" w:sz="12" w:space="0" w:color="000000"/>
              <w:bottom w:val="single" w:sz="6" w:space="0" w:color="000000"/>
              <w:right w:val="single" w:sz="12" w:space="0" w:color="000000"/>
            </w:tcBorders>
            <w:vAlign w:val="center"/>
            <w:hideMark/>
          </w:tcPr>
          <w:p w14:paraId="1F4EC1EE" w14:textId="77777777" w:rsidR="005C5548" w:rsidRPr="005C5548" w:rsidRDefault="005C5548" w:rsidP="005C5548">
            <w:pPr>
              <w:jc w:val="center"/>
              <w:rPr>
                <w:szCs w:val="22"/>
              </w:rPr>
            </w:pPr>
            <w:r w:rsidRPr="005C5548">
              <w:rPr>
                <w:szCs w:val="22"/>
              </w:rPr>
              <w:t>Compliance with standards and maintenance requirements</w:t>
            </w:r>
          </w:p>
        </w:tc>
        <w:tc>
          <w:tcPr>
            <w:tcW w:w="2277" w:type="pct"/>
            <w:tcBorders>
              <w:top w:val="single" w:sz="6" w:space="0" w:color="000000"/>
              <w:left w:val="single" w:sz="12" w:space="0" w:color="000000"/>
              <w:bottom w:val="single" w:sz="6" w:space="0" w:color="000000"/>
              <w:right w:val="single" w:sz="12" w:space="0" w:color="000000"/>
            </w:tcBorders>
            <w:vAlign w:val="center"/>
            <w:hideMark/>
          </w:tcPr>
          <w:p w14:paraId="2B729503" w14:textId="77777777" w:rsidR="005C5548" w:rsidRPr="005C5548" w:rsidRDefault="005C5548" w:rsidP="005C5548">
            <w:pPr>
              <w:ind w:left="147"/>
              <w:rPr>
                <w:szCs w:val="22"/>
              </w:rPr>
            </w:pPr>
            <w:r w:rsidRPr="005C5548">
              <w:rPr>
                <w:szCs w:val="22"/>
              </w:rPr>
              <w:t>Requirements are specified in subpart JJJJ.</w:t>
            </w:r>
          </w:p>
        </w:tc>
      </w:tr>
      <w:tr w:rsidR="005C5548" w:rsidRPr="005C5548" w14:paraId="12C2F8A3" w14:textId="77777777" w:rsidTr="00C75EEC">
        <w:tc>
          <w:tcPr>
            <w:tcW w:w="774" w:type="pct"/>
            <w:tcBorders>
              <w:top w:val="single" w:sz="6" w:space="0" w:color="000000"/>
              <w:left w:val="single" w:sz="12" w:space="0" w:color="000000"/>
              <w:bottom w:val="single" w:sz="6" w:space="0" w:color="000000"/>
              <w:right w:val="single" w:sz="12" w:space="0" w:color="000000"/>
            </w:tcBorders>
            <w:vAlign w:val="center"/>
            <w:hideMark/>
          </w:tcPr>
          <w:p w14:paraId="48423543" w14:textId="77777777" w:rsidR="005C5548" w:rsidRPr="005C5548" w:rsidRDefault="005C5548" w:rsidP="005C5548">
            <w:pPr>
              <w:jc w:val="center"/>
              <w:rPr>
                <w:szCs w:val="22"/>
              </w:rPr>
            </w:pPr>
            <w:r w:rsidRPr="005C5548">
              <w:rPr>
                <w:szCs w:val="22"/>
              </w:rPr>
              <w:t>§ 60.12</w:t>
            </w:r>
          </w:p>
        </w:tc>
        <w:tc>
          <w:tcPr>
            <w:tcW w:w="1949" w:type="pct"/>
            <w:tcBorders>
              <w:top w:val="single" w:sz="6" w:space="0" w:color="000000"/>
              <w:left w:val="single" w:sz="12" w:space="0" w:color="000000"/>
              <w:bottom w:val="single" w:sz="6" w:space="0" w:color="000000"/>
              <w:right w:val="single" w:sz="12" w:space="0" w:color="000000"/>
            </w:tcBorders>
            <w:vAlign w:val="center"/>
            <w:hideMark/>
          </w:tcPr>
          <w:p w14:paraId="2F0228DA" w14:textId="77777777" w:rsidR="005C5548" w:rsidRPr="005C5548" w:rsidRDefault="005C5548" w:rsidP="005C5548">
            <w:pPr>
              <w:jc w:val="center"/>
              <w:rPr>
                <w:szCs w:val="22"/>
              </w:rPr>
            </w:pPr>
            <w:r w:rsidRPr="005C5548">
              <w:rPr>
                <w:szCs w:val="22"/>
              </w:rPr>
              <w:t>Circumvention</w:t>
            </w:r>
          </w:p>
        </w:tc>
        <w:tc>
          <w:tcPr>
            <w:tcW w:w="2277" w:type="pct"/>
            <w:tcBorders>
              <w:top w:val="single" w:sz="6" w:space="0" w:color="000000"/>
              <w:left w:val="single" w:sz="12" w:space="0" w:color="000000"/>
              <w:bottom w:val="single" w:sz="6" w:space="0" w:color="000000"/>
              <w:right w:val="single" w:sz="12" w:space="0" w:color="000000"/>
            </w:tcBorders>
            <w:vAlign w:val="center"/>
            <w:hideMark/>
          </w:tcPr>
          <w:p w14:paraId="00E6010D" w14:textId="77777777" w:rsidR="005C5548" w:rsidRPr="005C5548" w:rsidRDefault="005C5548" w:rsidP="005C5548">
            <w:pPr>
              <w:ind w:left="237"/>
              <w:rPr>
                <w:szCs w:val="22"/>
              </w:rPr>
            </w:pPr>
          </w:p>
        </w:tc>
      </w:tr>
      <w:tr w:rsidR="005C5548" w:rsidRPr="005C5548" w14:paraId="2853DF97" w14:textId="77777777" w:rsidTr="00C75EEC">
        <w:tc>
          <w:tcPr>
            <w:tcW w:w="774" w:type="pct"/>
            <w:tcBorders>
              <w:top w:val="single" w:sz="6" w:space="0" w:color="000000"/>
              <w:left w:val="single" w:sz="12" w:space="0" w:color="000000"/>
              <w:bottom w:val="single" w:sz="6" w:space="0" w:color="000000"/>
              <w:right w:val="single" w:sz="12" w:space="0" w:color="000000"/>
            </w:tcBorders>
            <w:vAlign w:val="center"/>
            <w:hideMark/>
          </w:tcPr>
          <w:p w14:paraId="5CC93F6F" w14:textId="77777777" w:rsidR="005C5548" w:rsidRPr="005C5548" w:rsidRDefault="005C5548" w:rsidP="005C5548">
            <w:pPr>
              <w:jc w:val="center"/>
              <w:rPr>
                <w:szCs w:val="22"/>
              </w:rPr>
            </w:pPr>
            <w:r w:rsidRPr="005C5548">
              <w:rPr>
                <w:szCs w:val="22"/>
              </w:rPr>
              <w:t>§ 60.14</w:t>
            </w:r>
          </w:p>
        </w:tc>
        <w:tc>
          <w:tcPr>
            <w:tcW w:w="1949" w:type="pct"/>
            <w:tcBorders>
              <w:top w:val="single" w:sz="6" w:space="0" w:color="000000"/>
              <w:left w:val="single" w:sz="12" w:space="0" w:color="000000"/>
              <w:bottom w:val="single" w:sz="6" w:space="0" w:color="000000"/>
              <w:right w:val="single" w:sz="12" w:space="0" w:color="000000"/>
            </w:tcBorders>
            <w:vAlign w:val="center"/>
            <w:hideMark/>
          </w:tcPr>
          <w:p w14:paraId="2F936FD6" w14:textId="77777777" w:rsidR="005C5548" w:rsidRPr="005C5548" w:rsidRDefault="005C5548" w:rsidP="005C5548">
            <w:pPr>
              <w:jc w:val="center"/>
              <w:rPr>
                <w:szCs w:val="22"/>
              </w:rPr>
            </w:pPr>
            <w:r w:rsidRPr="005C5548">
              <w:rPr>
                <w:szCs w:val="22"/>
              </w:rPr>
              <w:t>Modification</w:t>
            </w:r>
          </w:p>
        </w:tc>
        <w:tc>
          <w:tcPr>
            <w:tcW w:w="2277" w:type="pct"/>
            <w:tcBorders>
              <w:top w:val="single" w:sz="6" w:space="0" w:color="000000"/>
              <w:left w:val="single" w:sz="12" w:space="0" w:color="000000"/>
              <w:bottom w:val="single" w:sz="6" w:space="0" w:color="000000"/>
              <w:right w:val="single" w:sz="12" w:space="0" w:color="000000"/>
            </w:tcBorders>
            <w:vAlign w:val="center"/>
            <w:hideMark/>
          </w:tcPr>
          <w:p w14:paraId="4636331E" w14:textId="77777777" w:rsidR="005C5548" w:rsidRPr="005C5548" w:rsidRDefault="005C5548" w:rsidP="005C5548">
            <w:pPr>
              <w:ind w:left="237"/>
              <w:rPr>
                <w:szCs w:val="22"/>
              </w:rPr>
            </w:pPr>
          </w:p>
        </w:tc>
      </w:tr>
      <w:tr w:rsidR="005C5548" w:rsidRPr="005C5548" w14:paraId="4CB15443" w14:textId="77777777" w:rsidTr="00C75EEC">
        <w:tc>
          <w:tcPr>
            <w:tcW w:w="774" w:type="pct"/>
            <w:tcBorders>
              <w:top w:val="single" w:sz="6" w:space="0" w:color="000000"/>
              <w:left w:val="single" w:sz="12" w:space="0" w:color="000000"/>
              <w:bottom w:val="single" w:sz="6" w:space="0" w:color="000000"/>
              <w:right w:val="single" w:sz="12" w:space="0" w:color="000000"/>
            </w:tcBorders>
            <w:vAlign w:val="center"/>
            <w:hideMark/>
          </w:tcPr>
          <w:p w14:paraId="34B56797" w14:textId="77777777" w:rsidR="005C5548" w:rsidRPr="005C5548" w:rsidRDefault="005C5548" w:rsidP="005C5548">
            <w:pPr>
              <w:jc w:val="center"/>
              <w:rPr>
                <w:szCs w:val="22"/>
              </w:rPr>
            </w:pPr>
            <w:r w:rsidRPr="005C5548">
              <w:rPr>
                <w:szCs w:val="22"/>
              </w:rPr>
              <w:t>§ 60.15</w:t>
            </w:r>
          </w:p>
        </w:tc>
        <w:tc>
          <w:tcPr>
            <w:tcW w:w="1949" w:type="pct"/>
            <w:tcBorders>
              <w:top w:val="single" w:sz="6" w:space="0" w:color="000000"/>
              <w:left w:val="single" w:sz="12" w:space="0" w:color="000000"/>
              <w:bottom w:val="single" w:sz="6" w:space="0" w:color="000000"/>
              <w:right w:val="single" w:sz="12" w:space="0" w:color="000000"/>
            </w:tcBorders>
            <w:vAlign w:val="center"/>
            <w:hideMark/>
          </w:tcPr>
          <w:p w14:paraId="2E53ED7D" w14:textId="77777777" w:rsidR="005C5548" w:rsidRPr="005C5548" w:rsidRDefault="005C5548" w:rsidP="005C5548">
            <w:pPr>
              <w:jc w:val="center"/>
              <w:rPr>
                <w:szCs w:val="22"/>
              </w:rPr>
            </w:pPr>
            <w:r w:rsidRPr="005C5548">
              <w:rPr>
                <w:szCs w:val="22"/>
              </w:rPr>
              <w:t>Reconstruction</w:t>
            </w:r>
          </w:p>
        </w:tc>
        <w:tc>
          <w:tcPr>
            <w:tcW w:w="2277" w:type="pct"/>
            <w:tcBorders>
              <w:top w:val="single" w:sz="6" w:space="0" w:color="000000"/>
              <w:left w:val="single" w:sz="12" w:space="0" w:color="000000"/>
              <w:bottom w:val="single" w:sz="6" w:space="0" w:color="000000"/>
              <w:right w:val="single" w:sz="12" w:space="0" w:color="000000"/>
            </w:tcBorders>
            <w:vAlign w:val="center"/>
            <w:hideMark/>
          </w:tcPr>
          <w:p w14:paraId="64CAA1E2" w14:textId="77777777" w:rsidR="005C5548" w:rsidRPr="005C5548" w:rsidRDefault="005C5548" w:rsidP="005C5548">
            <w:pPr>
              <w:ind w:left="237"/>
              <w:rPr>
                <w:szCs w:val="22"/>
              </w:rPr>
            </w:pPr>
          </w:p>
        </w:tc>
      </w:tr>
      <w:tr w:rsidR="005C5548" w:rsidRPr="005C5548" w14:paraId="0A8D26B2" w14:textId="77777777" w:rsidTr="00C75EEC">
        <w:tc>
          <w:tcPr>
            <w:tcW w:w="774" w:type="pct"/>
            <w:tcBorders>
              <w:top w:val="single" w:sz="6" w:space="0" w:color="000000"/>
              <w:left w:val="single" w:sz="12" w:space="0" w:color="000000"/>
              <w:bottom w:val="single" w:sz="6" w:space="0" w:color="000000"/>
              <w:right w:val="single" w:sz="12" w:space="0" w:color="000000"/>
            </w:tcBorders>
            <w:vAlign w:val="center"/>
            <w:hideMark/>
          </w:tcPr>
          <w:p w14:paraId="49FA5D2A" w14:textId="77777777" w:rsidR="005C5548" w:rsidRPr="005C5548" w:rsidRDefault="005C5548" w:rsidP="005C5548">
            <w:pPr>
              <w:jc w:val="center"/>
              <w:rPr>
                <w:szCs w:val="22"/>
              </w:rPr>
            </w:pPr>
            <w:r w:rsidRPr="005C5548">
              <w:rPr>
                <w:szCs w:val="22"/>
              </w:rPr>
              <w:t>§ 60.16</w:t>
            </w:r>
          </w:p>
        </w:tc>
        <w:tc>
          <w:tcPr>
            <w:tcW w:w="1949" w:type="pct"/>
            <w:tcBorders>
              <w:top w:val="single" w:sz="6" w:space="0" w:color="000000"/>
              <w:left w:val="single" w:sz="12" w:space="0" w:color="000000"/>
              <w:bottom w:val="single" w:sz="6" w:space="0" w:color="000000"/>
              <w:right w:val="single" w:sz="12" w:space="0" w:color="000000"/>
            </w:tcBorders>
            <w:vAlign w:val="center"/>
            <w:hideMark/>
          </w:tcPr>
          <w:p w14:paraId="24D4F165" w14:textId="77777777" w:rsidR="005C5548" w:rsidRPr="005C5548" w:rsidRDefault="005C5548" w:rsidP="005C5548">
            <w:pPr>
              <w:jc w:val="center"/>
              <w:rPr>
                <w:szCs w:val="22"/>
              </w:rPr>
            </w:pPr>
            <w:r w:rsidRPr="005C5548">
              <w:rPr>
                <w:szCs w:val="22"/>
              </w:rPr>
              <w:t>Priority list</w:t>
            </w:r>
          </w:p>
        </w:tc>
        <w:tc>
          <w:tcPr>
            <w:tcW w:w="2277" w:type="pct"/>
            <w:tcBorders>
              <w:top w:val="single" w:sz="6" w:space="0" w:color="000000"/>
              <w:left w:val="single" w:sz="12" w:space="0" w:color="000000"/>
              <w:bottom w:val="single" w:sz="6" w:space="0" w:color="000000"/>
              <w:right w:val="single" w:sz="12" w:space="0" w:color="000000"/>
            </w:tcBorders>
            <w:vAlign w:val="center"/>
            <w:hideMark/>
          </w:tcPr>
          <w:p w14:paraId="183D8111" w14:textId="77777777" w:rsidR="005C5548" w:rsidRPr="005C5548" w:rsidRDefault="005C5548" w:rsidP="005C5548">
            <w:pPr>
              <w:ind w:left="237"/>
              <w:rPr>
                <w:szCs w:val="22"/>
              </w:rPr>
            </w:pPr>
          </w:p>
        </w:tc>
      </w:tr>
      <w:tr w:rsidR="005C5548" w:rsidRPr="005C5548" w14:paraId="0CA09F7D" w14:textId="77777777" w:rsidTr="00C75EEC">
        <w:tc>
          <w:tcPr>
            <w:tcW w:w="774" w:type="pct"/>
            <w:tcBorders>
              <w:top w:val="single" w:sz="6" w:space="0" w:color="000000"/>
              <w:left w:val="single" w:sz="12" w:space="0" w:color="000000"/>
              <w:bottom w:val="single" w:sz="6" w:space="0" w:color="000000"/>
              <w:right w:val="single" w:sz="12" w:space="0" w:color="000000"/>
            </w:tcBorders>
            <w:vAlign w:val="center"/>
            <w:hideMark/>
          </w:tcPr>
          <w:p w14:paraId="64123302" w14:textId="77777777" w:rsidR="005C5548" w:rsidRPr="005C5548" w:rsidRDefault="005C5548" w:rsidP="005C5548">
            <w:pPr>
              <w:jc w:val="center"/>
              <w:rPr>
                <w:szCs w:val="22"/>
              </w:rPr>
            </w:pPr>
            <w:r w:rsidRPr="005C5548">
              <w:rPr>
                <w:szCs w:val="22"/>
              </w:rPr>
              <w:t>§ 60.17</w:t>
            </w:r>
          </w:p>
        </w:tc>
        <w:tc>
          <w:tcPr>
            <w:tcW w:w="1949" w:type="pct"/>
            <w:tcBorders>
              <w:top w:val="single" w:sz="6" w:space="0" w:color="000000"/>
              <w:left w:val="single" w:sz="12" w:space="0" w:color="000000"/>
              <w:bottom w:val="single" w:sz="6" w:space="0" w:color="000000"/>
              <w:right w:val="single" w:sz="12" w:space="0" w:color="000000"/>
            </w:tcBorders>
            <w:vAlign w:val="center"/>
            <w:hideMark/>
          </w:tcPr>
          <w:p w14:paraId="293BC458" w14:textId="77777777" w:rsidR="005C5548" w:rsidRPr="005C5548" w:rsidRDefault="005C5548" w:rsidP="005C5548">
            <w:pPr>
              <w:jc w:val="center"/>
              <w:rPr>
                <w:szCs w:val="22"/>
              </w:rPr>
            </w:pPr>
            <w:r w:rsidRPr="005C5548">
              <w:rPr>
                <w:szCs w:val="22"/>
              </w:rPr>
              <w:t>Incorporations by reference</w:t>
            </w:r>
          </w:p>
        </w:tc>
        <w:tc>
          <w:tcPr>
            <w:tcW w:w="2277" w:type="pct"/>
            <w:tcBorders>
              <w:top w:val="single" w:sz="6" w:space="0" w:color="000000"/>
              <w:left w:val="single" w:sz="12" w:space="0" w:color="000000"/>
              <w:bottom w:val="single" w:sz="6" w:space="0" w:color="000000"/>
              <w:right w:val="single" w:sz="12" w:space="0" w:color="000000"/>
            </w:tcBorders>
            <w:vAlign w:val="center"/>
            <w:hideMark/>
          </w:tcPr>
          <w:p w14:paraId="74E83E08" w14:textId="77777777" w:rsidR="005C5548" w:rsidRPr="005C5548" w:rsidRDefault="005C5548" w:rsidP="005C5548">
            <w:pPr>
              <w:rPr>
                <w:szCs w:val="22"/>
              </w:rPr>
            </w:pPr>
          </w:p>
        </w:tc>
      </w:tr>
      <w:tr w:rsidR="005C5548" w:rsidRPr="005C5548" w14:paraId="13F24A91" w14:textId="77777777" w:rsidTr="00C75EEC">
        <w:tc>
          <w:tcPr>
            <w:tcW w:w="774" w:type="pct"/>
            <w:tcBorders>
              <w:top w:val="single" w:sz="6" w:space="0" w:color="000000"/>
              <w:left w:val="single" w:sz="12" w:space="0" w:color="000000"/>
              <w:bottom w:val="single" w:sz="12" w:space="0" w:color="000000"/>
              <w:right w:val="single" w:sz="12" w:space="0" w:color="000000"/>
            </w:tcBorders>
            <w:vAlign w:val="center"/>
            <w:hideMark/>
          </w:tcPr>
          <w:p w14:paraId="09132527" w14:textId="77777777" w:rsidR="005C5548" w:rsidRPr="005C5548" w:rsidRDefault="005C5548" w:rsidP="005C5548">
            <w:pPr>
              <w:jc w:val="center"/>
              <w:rPr>
                <w:szCs w:val="22"/>
              </w:rPr>
            </w:pPr>
            <w:r w:rsidRPr="005C5548">
              <w:rPr>
                <w:szCs w:val="22"/>
              </w:rPr>
              <w:t>§ 60.19</w:t>
            </w:r>
          </w:p>
        </w:tc>
        <w:tc>
          <w:tcPr>
            <w:tcW w:w="1949" w:type="pct"/>
            <w:tcBorders>
              <w:top w:val="single" w:sz="6" w:space="0" w:color="000000"/>
              <w:left w:val="single" w:sz="12" w:space="0" w:color="000000"/>
              <w:bottom w:val="single" w:sz="12" w:space="0" w:color="000000"/>
              <w:right w:val="single" w:sz="12" w:space="0" w:color="000000"/>
            </w:tcBorders>
            <w:vAlign w:val="center"/>
            <w:hideMark/>
          </w:tcPr>
          <w:p w14:paraId="3E84F91F" w14:textId="77777777" w:rsidR="005C5548" w:rsidRPr="005C5548" w:rsidRDefault="005C5548" w:rsidP="005C5548">
            <w:pPr>
              <w:jc w:val="center"/>
              <w:rPr>
                <w:szCs w:val="22"/>
              </w:rPr>
            </w:pPr>
            <w:r w:rsidRPr="005C5548">
              <w:rPr>
                <w:szCs w:val="22"/>
              </w:rPr>
              <w:t>General notification and reporting requirements</w:t>
            </w:r>
          </w:p>
        </w:tc>
        <w:tc>
          <w:tcPr>
            <w:tcW w:w="2277" w:type="pct"/>
            <w:tcBorders>
              <w:top w:val="single" w:sz="6" w:space="0" w:color="000000"/>
              <w:left w:val="single" w:sz="12" w:space="0" w:color="000000"/>
              <w:bottom w:val="single" w:sz="12" w:space="0" w:color="000000"/>
              <w:right w:val="single" w:sz="12" w:space="0" w:color="000000"/>
            </w:tcBorders>
            <w:vAlign w:val="center"/>
            <w:hideMark/>
          </w:tcPr>
          <w:p w14:paraId="0E55FDB2" w14:textId="77777777" w:rsidR="005C5548" w:rsidRPr="005C5548" w:rsidRDefault="005C5548" w:rsidP="005C5548">
            <w:pPr>
              <w:rPr>
                <w:szCs w:val="22"/>
              </w:rPr>
            </w:pPr>
          </w:p>
        </w:tc>
      </w:tr>
    </w:tbl>
    <w:p w14:paraId="5123594B" w14:textId="77777777" w:rsidR="005C5548" w:rsidRPr="005C5548" w:rsidRDefault="005C5548" w:rsidP="00C75EEC">
      <w:pPr>
        <w:suppressAutoHyphens/>
        <w:spacing w:before="120" w:after="120"/>
        <w:ind w:left="360"/>
        <w:rPr>
          <w:b/>
          <w:szCs w:val="22"/>
        </w:rPr>
      </w:pPr>
      <w:r w:rsidRPr="005C5548">
        <w:rPr>
          <w:szCs w:val="22"/>
        </w:rPr>
        <w:t>[40 CFR 60.4245 (a)]</w:t>
      </w:r>
    </w:p>
    <w:p w14:paraId="7BE04F9E" w14:textId="74BE5F69" w:rsidR="007E7419" w:rsidRDefault="00585225" w:rsidP="0020447B">
      <w:pPr>
        <w:pStyle w:val="ListParagraph"/>
        <w:tabs>
          <w:tab w:val="left" w:pos="360"/>
          <w:tab w:val="left" w:pos="720"/>
          <w:tab w:val="left" w:pos="1080"/>
          <w:tab w:val="left" w:pos="1440"/>
        </w:tabs>
        <w:ind w:left="0"/>
        <w:rPr>
          <w:color w:val="000000"/>
        </w:rPr>
      </w:pPr>
      <w:hyperlink w:anchor="TableofContents" w:tooltip=" " w:history="1">
        <w:r w:rsidR="00441FC9" w:rsidRPr="00C638F9">
          <w:rPr>
            <w:rStyle w:val="Hyperlink"/>
          </w:rPr>
          <w:t>Table of Contents</w:t>
        </w:r>
      </w:hyperlink>
    </w:p>
    <w:p w14:paraId="625FBC3C" w14:textId="5E2F030E" w:rsidR="00030715" w:rsidRDefault="00030715" w:rsidP="006D1595">
      <w:pPr>
        <w:tabs>
          <w:tab w:val="left" w:pos="1440"/>
        </w:tabs>
        <w:rPr>
          <w:color w:val="000000"/>
        </w:rPr>
        <w:sectPr w:rsidR="00030715" w:rsidSect="005F79CF">
          <w:headerReference w:type="even" r:id="rId83"/>
          <w:headerReference w:type="default" r:id="rId84"/>
          <w:headerReference w:type="first" r:id="rId85"/>
          <w:pgSz w:w="12240" w:h="15840" w:code="1"/>
          <w:pgMar w:top="1080" w:right="1080" w:bottom="1080" w:left="1080" w:header="720" w:footer="720" w:gutter="0"/>
          <w:paperSrc w:first="15" w:other="15"/>
          <w:cols w:space="720"/>
        </w:sectPr>
      </w:pPr>
    </w:p>
    <w:p w14:paraId="4E023058" w14:textId="1D67F60C" w:rsidR="006D1595" w:rsidRPr="00B66CE9" w:rsidRDefault="006D1595" w:rsidP="006D1595">
      <w:pPr>
        <w:tabs>
          <w:tab w:val="left" w:pos="1440"/>
        </w:tabs>
        <w:rPr>
          <w:color w:val="000000"/>
        </w:rPr>
      </w:pPr>
      <w:bookmarkStart w:id="273" w:name="Section4"/>
      <w:bookmarkEnd w:id="273"/>
      <w:r w:rsidRPr="00B66CE9">
        <w:rPr>
          <w:color w:val="000000"/>
        </w:rPr>
        <w:t xml:space="preserve">Operated by:  </w:t>
      </w:r>
      <w:r w:rsidR="0007103C" w:rsidRPr="0007103C">
        <w:rPr>
          <w:color w:val="000000"/>
        </w:rPr>
        <w:t>Florida Power and Light Company</w:t>
      </w:r>
    </w:p>
    <w:p w14:paraId="4505814D" w14:textId="0F97E664" w:rsidR="006D1595" w:rsidRPr="00B66CE9" w:rsidRDefault="006D1595" w:rsidP="006D1595">
      <w:pPr>
        <w:tabs>
          <w:tab w:val="left" w:pos="1440"/>
        </w:tabs>
        <w:rPr>
          <w:color w:val="000000"/>
        </w:rPr>
      </w:pPr>
      <w:r w:rsidRPr="00B66CE9">
        <w:rPr>
          <w:color w:val="000000"/>
        </w:rPr>
        <w:t xml:space="preserve">ORIS Code:  </w:t>
      </w:r>
      <w:r w:rsidR="000D22A4" w:rsidRPr="000D22A4">
        <w:rPr>
          <w:color w:val="000000"/>
        </w:rPr>
        <w:t>6043</w:t>
      </w:r>
    </w:p>
    <w:p w14:paraId="7F3E3EEF" w14:textId="77777777" w:rsidR="006D1595" w:rsidRPr="00B66CE9" w:rsidRDefault="006D1595" w:rsidP="006D1595">
      <w:pPr>
        <w:rPr>
          <w:color w:val="000000"/>
        </w:rPr>
      </w:pPr>
    </w:p>
    <w:p w14:paraId="12016078" w14:textId="77777777" w:rsidR="006D1595" w:rsidRPr="00B66CE9" w:rsidRDefault="006D1595" w:rsidP="006D1595">
      <w:pPr>
        <w:rPr>
          <w:color w:val="000000"/>
        </w:rPr>
      </w:pPr>
      <w:r w:rsidRPr="00B66CE9">
        <w:rPr>
          <w:color w:val="000000"/>
        </w:rPr>
        <w:t>The emissions units listed below are regulated under Acid Rain, Phase II.</w:t>
      </w:r>
    </w:p>
    <w:p w14:paraId="59DEA8FE" w14:textId="77777777" w:rsidR="006D1595" w:rsidRPr="00B66CE9" w:rsidRDefault="006D1595" w:rsidP="006D1595">
      <w:pPr>
        <w:tabs>
          <w:tab w:val="left" w:pos="0"/>
        </w:tabs>
        <w:rPr>
          <w:color w:val="000000"/>
        </w:rPr>
      </w:pPr>
    </w:p>
    <w:tbl>
      <w:tblPr>
        <w:tblW w:w="0" w:type="auto"/>
        <w:tblLayout w:type="fixed"/>
        <w:tblLook w:val="0000" w:firstRow="0" w:lastRow="0" w:firstColumn="0" w:lastColumn="0" w:noHBand="0" w:noVBand="0"/>
      </w:tblPr>
      <w:tblGrid>
        <w:gridCol w:w="1008"/>
        <w:gridCol w:w="7848"/>
      </w:tblGrid>
      <w:tr w:rsidR="009035BA" w:rsidRPr="00B66CE9" w14:paraId="1B3A7011" w14:textId="77777777">
        <w:trPr>
          <w:cantSplit/>
        </w:trPr>
        <w:tc>
          <w:tcPr>
            <w:tcW w:w="1008" w:type="dxa"/>
          </w:tcPr>
          <w:p w14:paraId="4E060A77" w14:textId="77777777" w:rsidR="009035BA" w:rsidRPr="003271BF" w:rsidRDefault="009035BA" w:rsidP="00C91C5C">
            <w:pPr>
              <w:rPr>
                <w:b/>
                <w:sz w:val="24"/>
                <w:u w:val="single"/>
              </w:rPr>
            </w:pPr>
            <w:r w:rsidRPr="003271BF">
              <w:rPr>
                <w:sz w:val="18"/>
              </w:rPr>
              <w:br w:type="page"/>
            </w:r>
            <w:r w:rsidRPr="003271BF">
              <w:rPr>
                <w:sz w:val="18"/>
              </w:rPr>
              <w:br w:type="page"/>
            </w:r>
            <w:r w:rsidRPr="003271BF">
              <w:rPr>
                <w:b/>
                <w:sz w:val="24"/>
                <w:u w:val="single"/>
              </w:rPr>
              <w:t>E.U.  ID No.</w:t>
            </w:r>
          </w:p>
        </w:tc>
        <w:tc>
          <w:tcPr>
            <w:tcW w:w="7848" w:type="dxa"/>
          </w:tcPr>
          <w:p w14:paraId="58CC4A2D" w14:textId="77777777" w:rsidR="009035BA" w:rsidRPr="003271BF" w:rsidRDefault="009035BA" w:rsidP="00C91C5C">
            <w:pPr>
              <w:rPr>
                <w:b/>
                <w:sz w:val="24"/>
                <w:u w:val="single"/>
              </w:rPr>
            </w:pPr>
          </w:p>
          <w:p w14:paraId="30467D1C" w14:textId="77777777" w:rsidR="009035BA" w:rsidRPr="003271BF" w:rsidRDefault="009035BA" w:rsidP="00C91C5C">
            <w:pPr>
              <w:rPr>
                <w:b/>
                <w:sz w:val="24"/>
                <w:u w:val="single"/>
              </w:rPr>
            </w:pPr>
            <w:r w:rsidRPr="003271BF">
              <w:rPr>
                <w:b/>
                <w:sz w:val="24"/>
                <w:u w:val="single"/>
              </w:rPr>
              <w:t>Brief Description</w:t>
            </w:r>
          </w:p>
        </w:tc>
      </w:tr>
      <w:tr w:rsidR="008974F5" w:rsidRPr="00B66CE9" w14:paraId="45882F47" w14:textId="77777777">
        <w:trPr>
          <w:cantSplit/>
        </w:trPr>
        <w:tc>
          <w:tcPr>
            <w:tcW w:w="1008" w:type="dxa"/>
          </w:tcPr>
          <w:p w14:paraId="2BEA0E4C" w14:textId="11FD2FCC" w:rsidR="008974F5" w:rsidRPr="00B66CE9" w:rsidRDefault="008974F5" w:rsidP="008974F5">
            <w:pPr>
              <w:rPr>
                <w:color w:val="000000"/>
              </w:rPr>
            </w:pPr>
            <w:r>
              <w:rPr>
                <w:color w:val="000000"/>
              </w:rPr>
              <w:t>001</w:t>
            </w:r>
          </w:p>
        </w:tc>
        <w:tc>
          <w:tcPr>
            <w:tcW w:w="7848" w:type="dxa"/>
          </w:tcPr>
          <w:p w14:paraId="4D335672" w14:textId="1741B707" w:rsidR="008974F5" w:rsidRPr="00BF7C45" w:rsidRDefault="008974F5" w:rsidP="008974F5">
            <w:pPr>
              <w:rPr>
                <w:color w:val="000000"/>
                <w:highlight w:val="yellow"/>
              </w:rPr>
            </w:pPr>
            <w:r w:rsidRPr="00C16FF6">
              <w:rPr>
                <w:szCs w:val="22"/>
              </w:rPr>
              <w:t>Fossil Fuel Fired Steam Generator No. 1</w:t>
            </w:r>
          </w:p>
        </w:tc>
      </w:tr>
      <w:tr w:rsidR="008974F5" w:rsidRPr="00B66CE9" w14:paraId="46D05B58" w14:textId="77777777">
        <w:trPr>
          <w:cantSplit/>
        </w:trPr>
        <w:tc>
          <w:tcPr>
            <w:tcW w:w="1008" w:type="dxa"/>
          </w:tcPr>
          <w:p w14:paraId="148A84CC" w14:textId="1CDA2A95" w:rsidR="008974F5" w:rsidRPr="00B66CE9" w:rsidRDefault="008974F5" w:rsidP="008974F5">
            <w:pPr>
              <w:rPr>
                <w:color w:val="000000"/>
              </w:rPr>
            </w:pPr>
            <w:r>
              <w:rPr>
                <w:color w:val="000000"/>
              </w:rPr>
              <w:t>002</w:t>
            </w:r>
          </w:p>
        </w:tc>
        <w:tc>
          <w:tcPr>
            <w:tcW w:w="7848" w:type="dxa"/>
          </w:tcPr>
          <w:p w14:paraId="21153CF6" w14:textId="4F173D7E" w:rsidR="008974F5" w:rsidRPr="00BF7C45" w:rsidRDefault="008974F5" w:rsidP="008974F5">
            <w:pPr>
              <w:rPr>
                <w:color w:val="000000"/>
                <w:highlight w:val="yellow"/>
              </w:rPr>
            </w:pPr>
            <w:r w:rsidRPr="00C16FF6">
              <w:rPr>
                <w:szCs w:val="22"/>
              </w:rPr>
              <w:t>Fossil Fuel Fired Steam Generator No. 2</w:t>
            </w:r>
          </w:p>
        </w:tc>
      </w:tr>
      <w:tr w:rsidR="008974F5" w:rsidRPr="00B66CE9" w14:paraId="71C9386B" w14:textId="77777777">
        <w:trPr>
          <w:cantSplit/>
        </w:trPr>
        <w:tc>
          <w:tcPr>
            <w:tcW w:w="1008" w:type="dxa"/>
          </w:tcPr>
          <w:p w14:paraId="3748B063" w14:textId="397977B0" w:rsidR="008974F5" w:rsidRDefault="008974F5" w:rsidP="008974F5">
            <w:pPr>
              <w:rPr>
                <w:color w:val="000000"/>
              </w:rPr>
            </w:pPr>
            <w:r>
              <w:rPr>
                <w:color w:val="000000"/>
              </w:rPr>
              <w:t>003</w:t>
            </w:r>
          </w:p>
        </w:tc>
        <w:tc>
          <w:tcPr>
            <w:tcW w:w="7848" w:type="dxa"/>
          </w:tcPr>
          <w:p w14:paraId="7AA39CF4" w14:textId="499EDC38" w:rsidR="008974F5" w:rsidRPr="00BF7C45" w:rsidRDefault="008974F5" w:rsidP="008974F5">
            <w:pPr>
              <w:rPr>
                <w:color w:val="000000"/>
                <w:highlight w:val="yellow"/>
              </w:rPr>
            </w:pPr>
            <w:r>
              <w:rPr>
                <w:szCs w:val="22"/>
              </w:rPr>
              <w:t>CT</w:t>
            </w:r>
            <w:r w:rsidRPr="00C16FF6">
              <w:rPr>
                <w:szCs w:val="22"/>
              </w:rPr>
              <w:t xml:space="preserve"> with </w:t>
            </w:r>
            <w:r>
              <w:rPr>
                <w:szCs w:val="22"/>
              </w:rPr>
              <w:t>HRSG</w:t>
            </w:r>
            <w:r w:rsidRPr="00C16FF6">
              <w:rPr>
                <w:szCs w:val="22"/>
              </w:rPr>
              <w:t xml:space="preserve"> (CT 3A)</w:t>
            </w:r>
          </w:p>
        </w:tc>
      </w:tr>
      <w:tr w:rsidR="008974F5" w:rsidRPr="00B66CE9" w14:paraId="03E88D71" w14:textId="77777777">
        <w:trPr>
          <w:cantSplit/>
        </w:trPr>
        <w:tc>
          <w:tcPr>
            <w:tcW w:w="1008" w:type="dxa"/>
          </w:tcPr>
          <w:p w14:paraId="4A188FBA" w14:textId="215990D8" w:rsidR="008974F5" w:rsidRDefault="008974F5" w:rsidP="008974F5">
            <w:pPr>
              <w:rPr>
                <w:color w:val="000000"/>
              </w:rPr>
            </w:pPr>
            <w:r>
              <w:rPr>
                <w:color w:val="000000"/>
              </w:rPr>
              <w:t>004</w:t>
            </w:r>
          </w:p>
        </w:tc>
        <w:tc>
          <w:tcPr>
            <w:tcW w:w="7848" w:type="dxa"/>
          </w:tcPr>
          <w:p w14:paraId="2B4EAA50" w14:textId="6E733B30" w:rsidR="008974F5" w:rsidRPr="00BF7C45" w:rsidRDefault="008974F5" w:rsidP="008974F5">
            <w:pPr>
              <w:rPr>
                <w:color w:val="000000"/>
                <w:highlight w:val="yellow"/>
              </w:rPr>
            </w:pPr>
            <w:r>
              <w:rPr>
                <w:szCs w:val="22"/>
              </w:rPr>
              <w:t>CT</w:t>
            </w:r>
            <w:r w:rsidRPr="00C16FF6">
              <w:rPr>
                <w:szCs w:val="22"/>
              </w:rPr>
              <w:t xml:space="preserve"> with </w:t>
            </w:r>
            <w:r>
              <w:rPr>
                <w:szCs w:val="22"/>
              </w:rPr>
              <w:t>HRSG</w:t>
            </w:r>
            <w:r w:rsidRPr="00C16FF6">
              <w:rPr>
                <w:szCs w:val="22"/>
              </w:rPr>
              <w:t xml:space="preserve"> (CT 3B)</w:t>
            </w:r>
          </w:p>
        </w:tc>
      </w:tr>
      <w:tr w:rsidR="008974F5" w:rsidRPr="00B66CE9" w14:paraId="02F5C118" w14:textId="77777777" w:rsidTr="00516719">
        <w:trPr>
          <w:cantSplit/>
        </w:trPr>
        <w:tc>
          <w:tcPr>
            <w:tcW w:w="1008" w:type="dxa"/>
          </w:tcPr>
          <w:p w14:paraId="0B86DB61" w14:textId="37E50C6E" w:rsidR="008974F5" w:rsidRDefault="008974F5" w:rsidP="008974F5">
            <w:pPr>
              <w:rPr>
                <w:color w:val="000000"/>
              </w:rPr>
            </w:pPr>
            <w:r>
              <w:rPr>
                <w:color w:val="000000"/>
              </w:rPr>
              <w:t>005</w:t>
            </w:r>
          </w:p>
        </w:tc>
        <w:tc>
          <w:tcPr>
            <w:tcW w:w="7848" w:type="dxa"/>
            <w:vAlign w:val="center"/>
          </w:tcPr>
          <w:p w14:paraId="4F9ADBF9" w14:textId="55B2A163" w:rsidR="008974F5" w:rsidRPr="008974F5" w:rsidRDefault="008974F5" w:rsidP="008974F5">
            <w:pPr>
              <w:rPr>
                <w:color w:val="000000"/>
              </w:rPr>
            </w:pPr>
            <w:r w:rsidRPr="008974F5">
              <w:rPr>
                <w:szCs w:val="22"/>
              </w:rPr>
              <w:t>CT with HRSG (CT 4A)</w:t>
            </w:r>
          </w:p>
        </w:tc>
      </w:tr>
      <w:tr w:rsidR="008974F5" w:rsidRPr="00B66CE9" w14:paraId="7E61E62C" w14:textId="77777777" w:rsidTr="00516719">
        <w:trPr>
          <w:cantSplit/>
        </w:trPr>
        <w:tc>
          <w:tcPr>
            <w:tcW w:w="1008" w:type="dxa"/>
          </w:tcPr>
          <w:p w14:paraId="28FD5CD5" w14:textId="307F0B83" w:rsidR="008974F5" w:rsidRDefault="008974F5" w:rsidP="008974F5">
            <w:pPr>
              <w:rPr>
                <w:color w:val="000000"/>
              </w:rPr>
            </w:pPr>
            <w:r>
              <w:rPr>
                <w:color w:val="000000"/>
              </w:rPr>
              <w:t>006</w:t>
            </w:r>
          </w:p>
        </w:tc>
        <w:tc>
          <w:tcPr>
            <w:tcW w:w="7848" w:type="dxa"/>
            <w:vAlign w:val="center"/>
          </w:tcPr>
          <w:p w14:paraId="1ADF2A2E" w14:textId="40E64408" w:rsidR="008974F5" w:rsidRPr="008974F5" w:rsidRDefault="008974F5" w:rsidP="008974F5">
            <w:pPr>
              <w:rPr>
                <w:color w:val="000000"/>
              </w:rPr>
            </w:pPr>
            <w:r w:rsidRPr="008974F5">
              <w:rPr>
                <w:szCs w:val="22"/>
              </w:rPr>
              <w:t>CT with HRSG (CT 4B)</w:t>
            </w:r>
          </w:p>
        </w:tc>
      </w:tr>
      <w:tr w:rsidR="008974F5" w:rsidRPr="00B66CE9" w14:paraId="3398A56B" w14:textId="77777777" w:rsidTr="00516719">
        <w:trPr>
          <w:cantSplit/>
        </w:trPr>
        <w:tc>
          <w:tcPr>
            <w:tcW w:w="1008" w:type="dxa"/>
          </w:tcPr>
          <w:p w14:paraId="1CB51637" w14:textId="45BC1833" w:rsidR="008974F5" w:rsidRDefault="008974F5" w:rsidP="008974F5">
            <w:pPr>
              <w:rPr>
                <w:color w:val="000000"/>
              </w:rPr>
            </w:pPr>
            <w:r>
              <w:rPr>
                <w:color w:val="000000"/>
              </w:rPr>
              <w:t>011</w:t>
            </w:r>
          </w:p>
        </w:tc>
        <w:tc>
          <w:tcPr>
            <w:tcW w:w="7848" w:type="dxa"/>
            <w:vAlign w:val="center"/>
          </w:tcPr>
          <w:p w14:paraId="6A21F3F3" w14:textId="5CCCC46A" w:rsidR="008974F5" w:rsidRPr="008974F5" w:rsidRDefault="008974F5" w:rsidP="008974F5">
            <w:pPr>
              <w:rPr>
                <w:color w:val="000000"/>
              </w:rPr>
            </w:pPr>
            <w:r w:rsidRPr="008974F5">
              <w:rPr>
                <w:szCs w:val="22"/>
              </w:rPr>
              <w:t>CT with HRSG (CT 8A)</w:t>
            </w:r>
          </w:p>
        </w:tc>
      </w:tr>
      <w:tr w:rsidR="008974F5" w:rsidRPr="00B66CE9" w14:paraId="1C335A5D" w14:textId="77777777" w:rsidTr="00516719">
        <w:trPr>
          <w:cantSplit/>
        </w:trPr>
        <w:tc>
          <w:tcPr>
            <w:tcW w:w="1008" w:type="dxa"/>
          </w:tcPr>
          <w:p w14:paraId="020EC22E" w14:textId="406CA9A6" w:rsidR="008974F5" w:rsidRDefault="008974F5" w:rsidP="008974F5">
            <w:pPr>
              <w:rPr>
                <w:color w:val="000000"/>
              </w:rPr>
            </w:pPr>
            <w:r>
              <w:rPr>
                <w:color w:val="000000"/>
              </w:rPr>
              <w:t>012</w:t>
            </w:r>
          </w:p>
        </w:tc>
        <w:tc>
          <w:tcPr>
            <w:tcW w:w="7848" w:type="dxa"/>
            <w:vAlign w:val="center"/>
          </w:tcPr>
          <w:p w14:paraId="0B3C1D0E" w14:textId="36980AB9" w:rsidR="008974F5" w:rsidRPr="008974F5" w:rsidRDefault="008974F5" w:rsidP="008974F5">
            <w:pPr>
              <w:rPr>
                <w:color w:val="000000"/>
              </w:rPr>
            </w:pPr>
            <w:r w:rsidRPr="008974F5">
              <w:rPr>
                <w:szCs w:val="22"/>
              </w:rPr>
              <w:t>CT with HRSG (CT 8B)</w:t>
            </w:r>
          </w:p>
        </w:tc>
      </w:tr>
      <w:tr w:rsidR="008974F5" w:rsidRPr="00B66CE9" w14:paraId="4772FFAF" w14:textId="77777777">
        <w:trPr>
          <w:cantSplit/>
        </w:trPr>
        <w:tc>
          <w:tcPr>
            <w:tcW w:w="1008" w:type="dxa"/>
          </w:tcPr>
          <w:p w14:paraId="791E55B3" w14:textId="5EB6D005" w:rsidR="008974F5" w:rsidRDefault="008974F5" w:rsidP="008974F5">
            <w:pPr>
              <w:rPr>
                <w:color w:val="000000"/>
              </w:rPr>
            </w:pPr>
            <w:r>
              <w:rPr>
                <w:color w:val="000000"/>
              </w:rPr>
              <w:t>017</w:t>
            </w:r>
          </w:p>
        </w:tc>
        <w:tc>
          <w:tcPr>
            <w:tcW w:w="7848" w:type="dxa"/>
          </w:tcPr>
          <w:p w14:paraId="1BCAA044" w14:textId="2172C823" w:rsidR="008974F5" w:rsidRPr="008974F5" w:rsidRDefault="008974F5" w:rsidP="008974F5">
            <w:pPr>
              <w:rPr>
                <w:color w:val="000000"/>
              </w:rPr>
            </w:pPr>
            <w:r w:rsidRPr="008974F5">
              <w:rPr>
                <w:color w:val="000000"/>
              </w:rPr>
              <w:t>CT with HRSG (CT 8C)</w:t>
            </w:r>
          </w:p>
        </w:tc>
      </w:tr>
      <w:tr w:rsidR="008974F5" w:rsidRPr="00B66CE9" w14:paraId="6AB77455" w14:textId="77777777">
        <w:trPr>
          <w:cantSplit/>
        </w:trPr>
        <w:tc>
          <w:tcPr>
            <w:tcW w:w="1008" w:type="dxa"/>
          </w:tcPr>
          <w:p w14:paraId="21C7B225" w14:textId="162D406B" w:rsidR="008974F5" w:rsidRDefault="008974F5" w:rsidP="008974F5">
            <w:pPr>
              <w:rPr>
                <w:color w:val="000000"/>
              </w:rPr>
            </w:pPr>
            <w:r>
              <w:rPr>
                <w:color w:val="000000"/>
              </w:rPr>
              <w:t>018</w:t>
            </w:r>
          </w:p>
        </w:tc>
        <w:tc>
          <w:tcPr>
            <w:tcW w:w="7848" w:type="dxa"/>
          </w:tcPr>
          <w:p w14:paraId="0509F98E" w14:textId="2C991B0B" w:rsidR="008974F5" w:rsidRPr="008974F5" w:rsidRDefault="008974F5" w:rsidP="008974F5">
            <w:pPr>
              <w:rPr>
                <w:color w:val="000000"/>
              </w:rPr>
            </w:pPr>
            <w:r w:rsidRPr="008974F5">
              <w:rPr>
                <w:color w:val="000000"/>
              </w:rPr>
              <w:t>CT with HRSG (CT 8D)</w:t>
            </w:r>
          </w:p>
        </w:tc>
      </w:tr>
    </w:tbl>
    <w:p w14:paraId="23A0A4A8" w14:textId="3BCE0944" w:rsidR="006D1595" w:rsidRPr="00B66CE9" w:rsidRDefault="006D1595" w:rsidP="000B2D0C">
      <w:pPr>
        <w:tabs>
          <w:tab w:val="left" w:pos="360"/>
          <w:tab w:val="left" w:pos="720"/>
          <w:tab w:val="left" w:pos="1080"/>
        </w:tabs>
        <w:spacing w:before="120"/>
        <w:ind w:left="360" w:hanging="360"/>
        <w:jc w:val="both"/>
        <w:rPr>
          <w:color w:val="000000"/>
        </w:rPr>
      </w:pPr>
      <w:r w:rsidRPr="00C354AD">
        <w:rPr>
          <w:b/>
          <w:color w:val="000000"/>
        </w:rPr>
        <w:t>A.1.</w:t>
      </w:r>
      <w:r w:rsidR="0060702C">
        <w:rPr>
          <w:b/>
          <w:color w:val="000000"/>
        </w:rPr>
        <w:tab/>
      </w:r>
      <w:r w:rsidRPr="00B66CE9">
        <w:rPr>
          <w:color w:val="000000"/>
        </w:rPr>
        <w:t>The Phase II Acid Rain Part application submitted for this facility, as approved by the Department, is a part of this permit.  The owners and operators of these Phase II acid rain units must comply with the standard requirements and special provisions set forth in the application listed below:</w:t>
      </w:r>
    </w:p>
    <w:p w14:paraId="64D987C3" w14:textId="23BB034E" w:rsidR="006D1595" w:rsidRDefault="006D1595" w:rsidP="000B2D0C">
      <w:pPr>
        <w:tabs>
          <w:tab w:val="left" w:pos="720"/>
          <w:tab w:val="left" w:pos="1080"/>
        </w:tabs>
        <w:jc w:val="both"/>
        <w:rPr>
          <w:color w:val="000000"/>
        </w:rPr>
      </w:pPr>
      <w:r w:rsidRPr="00B66CE9">
        <w:rPr>
          <w:color w:val="000000"/>
        </w:rPr>
        <w:tab/>
      </w:r>
      <w:r w:rsidRPr="008974F5">
        <w:rPr>
          <w:color w:val="000000"/>
        </w:rPr>
        <w:t xml:space="preserve">DEP Form No. 62-210.900(1)(a), dated </w:t>
      </w:r>
      <w:r w:rsidR="008974F5" w:rsidRPr="008974F5">
        <w:rPr>
          <w:color w:val="000000"/>
        </w:rPr>
        <w:t>04</w:t>
      </w:r>
      <w:r w:rsidR="00BF7C45" w:rsidRPr="008974F5">
        <w:rPr>
          <w:color w:val="000000"/>
        </w:rPr>
        <w:t>/</w:t>
      </w:r>
      <w:r w:rsidR="008974F5" w:rsidRPr="008974F5">
        <w:rPr>
          <w:color w:val="000000"/>
        </w:rPr>
        <w:t>27</w:t>
      </w:r>
      <w:r w:rsidR="00BF7C45" w:rsidRPr="008974F5">
        <w:rPr>
          <w:color w:val="000000"/>
        </w:rPr>
        <w:t>/</w:t>
      </w:r>
      <w:r w:rsidR="008974F5" w:rsidRPr="008974F5">
        <w:rPr>
          <w:color w:val="000000"/>
        </w:rPr>
        <w:t>18</w:t>
      </w:r>
      <w:r w:rsidRPr="008974F5">
        <w:rPr>
          <w:color w:val="000000"/>
        </w:rPr>
        <w:t xml:space="preserve">, received </w:t>
      </w:r>
      <w:r w:rsidR="008974F5" w:rsidRPr="008974F5">
        <w:rPr>
          <w:color w:val="000000"/>
        </w:rPr>
        <w:t>05</w:t>
      </w:r>
      <w:r w:rsidR="00BF7C45" w:rsidRPr="008974F5">
        <w:rPr>
          <w:color w:val="000000"/>
        </w:rPr>
        <w:t>/</w:t>
      </w:r>
      <w:r w:rsidR="008974F5" w:rsidRPr="008974F5">
        <w:rPr>
          <w:color w:val="000000"/>
        </w:rPr>
        <w:t>21</w:t>
      </w:r>
      <w:r w:rsidR="00BF7C45" w:rsidRPr="008974F5">
        <w:rPr>
          <w:color w:val="000000"/>
        </w:rPr>
        <w:t>/</w:t>
      </w:r>
      <w:r w:rsidR="008974F5" w:rsidRPr="008974F5">
        <w:rPr>
          <w:color w:val="000000"/>
        </w:rPr>
        <w:t>18</w:t>
      </w:r>
      <w:r w:rsidRPr="008974F5">
        <w:rPr>
          <w:color w:val="000000"/>
        </w:rPr>
        <w:t>.</w:t>
      </w:r>
    </w:p>
    <w:p w14:paraId="3B434ED8" w14:textId="590B0097" w:rsidR="006D1595" w:rsidRPr="00B66CE9" w:rsidRDefault="00C545C7" w:rsidP="008974F5">
      <w:pPr>
        <w:tabs>
          <w:tab w:val="left" w:pos="360"/>
          <w:tab w:val="left" w:pos="720"/>
          <w:tab w:val="left" w:pos="1080"/>
        </w:tabs>
        <w:spacing w:after="120"/>
        <w:jc w:val="both"/>
        <w:rPr>
          <w:color w:val="000000"/>
        </w:rPr>
      </w:pPr>
      <w:r>
        <w:rPr>
          <w:color w:val="000000"/>
        </w:rPr>
        <w:tab/>
      </w:r>
      <w:r w:rsidR="006D1595" w:rsidRPr="00B66CE9">
        <w:rPr>
          <w:color w:val="000000"/>
        </w:rPr>
        <w:t>[Chapter 62-213, F.A.C. and Rule 62-214.320, F.A.C.]</w:t>
      </w:r>
    </w:p>
    <w:p w14:paraId="458AD057" w14:textId="74A62A2E" w:rsidR="006D1595" w:rsidRPr="00B66CE9" w:rsidRDefault="006D1595" w:rsidP="000B2D0C">
      <w:pPr>
        <w:widowControl w:val="0"/>
        <w:tabs>
          <w:tab w:val="left" w:pos="360"/>
          <w:tab w:val="left" w:pos="720"/>
          <w:tab w:val="left" w:pos="1080"/>
        </w:tabs>
        <w:spacing w:after="120"/>
        <w:ind w:left="360" w:hanging="360"/>
        <w:rPr>
          <w:color w:val="000000"/>
        </w:rPr>
      </w:pPr>
      <w:r w:rsidRPr="00C354AD">
        <w:rPr>
          <w:b/>
          <w:color w:val="000000"/>
        </w:rPr>
        <w:t>A.</w:t>
      </w:r>
      <w:r w:rsidR="000B2D0C">
        <w:rPr>
          <w:b/>
          <w:color w:val="000000"/>
        </w:rPr>
        <w:t>2</w:t>
      </w:r>
      <w:r w:rsidRPr="00C354AD">
        <w:rPr>
          <w:b/>
          <w:color w:val="000000"/>
        </w:rPr>
        <w:t>.</w:t>
      </w:r>
      <w:r w:rsidR="004A6969">
        <w:rPr>
          <w:color w:val="000000"/>
        </w:rPr>
        <w:tab/>
      </w:r>
      <w:r w:rsidR="002221C1" w:rsidRPr="002221C1">
        <w:rPr>
          <w:color w:val="000000"/>
          <w:u w:val="single"/>
        </w:rPr>
        <w:t xml:space="preserve">Sulfur </w:t>
      </w:r>
      <w:r w:rsidR="00906055">
        <w:rPr>
          <w:color w:val="000000"/>
          <w:u w:val="single"/>
        </w:rPr>
        <w:t>D</w:t>
      </w:r>
      <w:r w:rsidR="002221C1" w:rsidRPr="002221C1">
        <w:rPr>
          <w:color w:val="000000"/>
          <w:u w:val="single"/>
        </w:rPr>
        <w:t>ioxide (SO</w:t>
      </w:r>
      <w:r w:rsidR="002221C1" w:rsidRPr="002221C1">
        <w:rPr>
          <w:color w:val="000000"/>
          <w:u w:val="single"/>
          <w:vertAlign w:val="subscript"/>
        </w:rPr>
        <w:t>2</w:t>
      </w:r>
      <w:r w:rsidR="002221C1" w:rsidRPr="002221C1">
        <w:rPr>
          <w:color w:val="000000"/>
          <w:u w:val="single"/>
        </w:rPr>
        <w:t xml:space="preserve">) </w:t>
      </w:r>
      <w:r w:rsidRPr="003656C8">
        <w:rPr>
          <w:color w:val="000000"/>
          <w:u w:val="single"/>
        </w:rPr>
        <w:t>Emission Allowances</w:t>
      </w:r>
      <w:r w:rsidRPr="00B66CE9">
        <w:rPr>
          <w:color w:val="000000"/>
        </w:rPr>
        <w:t xml:space="preserve">.  </w:t>
      </w:r>
      <w:r w:rsidR="002221C1">
        <w:rPr>
          <w:color w:val="000000"/>
        </w:rPr>
        <w:t>SO</w:t>
      </w:r>
      <w:r w:rsidR="002221C1" w:rsidRPr="002221C1">
        <w:rPr>
          <w:color w:val="000000"/>
          <w:vertAlign w:val="subscript"/>
        </w:rPr>
        <w:t>2</w:t>
      </w:r>
      <w:r w:rsidR="002221C1">
        <w:rPr>
          <w:color w:val="000000"/>
        </w:rPr>
        <w:t xml:space="preserve"> e</w:t>
      </w:r>
      <w:r w:rsidRPr="00B66CE9">
        <w:rPr>
          <w:color w:val="000000"/>
        </w:rPr>
        <w:t>missions from sources subject to the Federal Acid Rain Program (Title IV) shall not exceed any allowances that the source lawfully holds under the Federal Acid Rain Program.  Allowances shall not be used to demonstrate compliance with a non-Title IV applicable requirement of the Act.</w:t>
      </w:r>
    </w:p>
    <w:p w14:paraId="7967631B" w14:textId="77777777" w:rsidR="006D1595" w:rsidRPr="00B66CE9" w:rsidRDefault="006D1595" w:rsidP="004A6969">
      <w:pPr>
        <w:tabs>
          <w:tab w:val="left" w:pos="360"/>
          <w:tab w:val="left" w:pos="1080"/>
        </w:tabs>
        <w:ind w:left="720" w:hanging="720"/>
        <w:jc w:val="both"/>
        <w:rPr>
          <w:color w:val="000000"/>
        </w:rPr>
      </w:pPr>
      <w:r w:rsidRPr="00B66CE9">
        <w:rPr>
          <w:color w:val="000000"/>
        </w:rPr>
        <w:tab/>
      </w:r>
      <w:r w:rsidR="005665F6">
        <w:rPr>
          <w:color w:val="000000"/>
        </w:rPr>
        <w:t>a</w:t>
      </w:r>
      <w:r w:rsidRPr="00B66CE9">
        <w:rPr>
          <w:color w:val="000000"/>
        </w:rPr>
        <w:t>.</w:t>
      </w:r>
      <w:r w:rsidRPr="00B66CE9">
        <w:rPr>
          <w:color w:val="000000"/>
        </w:rPr>
        <w:tab/>
        <w:t>No permit revision shall be required for increases in emissions that are authorized by allowances acquired pursuant to the Federal Acid Rain Program, provided that such increases do not require a permit revision pursuant to Rule 62-213.400(3), F.A.C.</w:t>
      </w:r>
    </w:p>
    <w:p w14:paraId="0E520A48" w14:textId="77777777" w:rsidR="006D1595" w:rsidRPr="00B66CE9" w:rsidRDefault="006D1595" w:rsidP="004A6969">
      <w:pPr>
        <w:tabs>
          <w:tab w:val="left" w:pos="360"/>
          <w:tab w:val="left" w:pos="1080"/>
        </w:tabs>
        <w:ind w:left="720" w:hanging="720"/>
        <w:jc w:val="both"/>
        <w:rPr>
          <w:color w:val="000000"/>
        </w:rPr>
      </w:pPr>
      <w:r w:rsidRPr="00B66CE9">
        <w:rPr>
          <w:color w:val="000000"/>
        </w:rPr>
        <w:tab/>
      </w:r>
      <w:r w:rsidR="005665F6">
        <w:rPr>
          <w:color w:val="000000"/>
        </w:rPr>
        <w:t>b</w:t>
      </w:r>
      <w:r w:rsidRPr="00B66CE9">
        <w:rPr>
          <w:color w:val="000000"/>
        </w:rPr>
        <w:t>.</w:t>
      </w:r>
      <w:r w:rsidRPr="00B66CE9">
        <w:rPr>
          <w:color w:val="000000"/>
        </w:rPr>
        <w:tab/>
        <w:t>No limit shall be placed on the number of allowances held by the source under the Federal Acid Rain Program.</w:t>
      </w:r>
    </w:p>
    <w:p w14:paraId="7C612F37" w14:textId="77777777" w:rsidR="006D1595" w:rsidRPr="00B66CE9" w:rsidRDefault="006D1595" w:rsidP="004A6969">
      <w:pPr>
        <w:tabs>
          <w:tab w:val="left" w:pos="360"/>
          <w:tab w:val="left" w:pos="720"/>
          <w:tab w:val="left" w:pos="1080"/>
        </w:tabs>
        <w:jc w:val="both"/>
        <w:rPr>
          <w:color w:val="000000"/>
        </w:rPr>
      </w:pPr>
      <w:r w:rsidRPr="00B66CE9">
        <w:rPr>
          <w:color w:val="000000"/>
        </w:rPr>
        <w:tab/>
      </w:r>
      <w:r w:rsidR="005665F6">
        <w:rPr>
          <w:color w:val="000000"/>
        </w:rPr>
        <w:t>c</w:t>
      </w:r>
      <w:r w:rsidRPr="00B66CE9">
        <w:rPr>
          <w:color w:val="000000"/>
        </w:rPr>
        <w:t>.</w:t>
      </w:r>
      <w:r w:rsidRPr="00B66CE9">
        <w:rPr>
          <w:color w:val="000000"/>
        </w:rPr>
        <w:tab/>
        <w:t>Allowances shall be accounted for under the Federal Acid Rain Program.</w:t>
      </w:r>
    </w:p>
    <w:p w14:paraId="375D40A0" w14:textId="77777777" w:rsidR="006D1595" w:rsidRPr="00B66CE9" w:rsidRDefault="006D1595" w:rsidP="004A6969">
      <w:pPr>
        <w:widowControl w:val="0"/>
        <w:tabs>
          <w:tab w:val="left" w:pos="360"/>
        </w:tabs>
        <w:spacing w:after="120"/>
        <w:ind w:left="360"/>
        <w:rPr>
          <w:color w:val="000000"/>
        </w:rPr>
      </w:pPr>
      <w:r w:rsidRPr="00B66CE9">
        <w:rPr>
          <w:color w:val="000000"/>
        </w:rPr>
        <w:t>[Rule 62-213.440(1)(c)1., 2. &amp; 3., F.A.C.]</w:t>
      </w:r>
    </w:p>
    <w:p w14:paraId="0F85067B" w14:textId="7D256310" w:rsidR="006D1595" w:rsidRDefault="006D1595" w:rsidP="006D1595">
      <w:pPr>
        <w:jc w:val="both"/>
        <w:rPr>
          <w:color w:val="000000"/>
        </w:rPr>
      </w:pPr>
      <w:r w:rsidRPr="00906055">
        <w:rPr>
          <w:b/>
          <w:color w:val="000000"/>
        </w:rPr>
        <w:t>A.</w:t>
      </w:r>
      <w:r w:rsidR="000B2D0C">
        <w:rPr>
          <w:b/>
          <w:color w:val="000000"/>
        </w:rPr>
        <w:t>3</w:t>
      </w:r>
      <w:r w:rsidRPr="00906055">
        <w:rPr>
          <w:b/>
          <w:color w:val="000000"/>
        </w:rPr>
        <w:t>.</w:t>
      </w:r>
      <w:r w:rsidRPr="00B66CE9">
        <w:rPr>
          <w:color w:val="000000"/>
        </w:rPr>
        <w:tab/>
        <w:t xml:space="preserve">Comments, </w:t>
      </w:r>
      <w:r w:rsidR="00906055">
        <w:rPr>
          <w:color w:val="000000"/>
        </w:rPr>
        <w:t>N</w:t>
      </w:r>
      <w:r w:rsidRPr="00B66CE9">
        <w:rPr>
          <w:color w:val="000000"/>
        </w:rPr>
        <w:t xml:space="preserve">otes, and </w:t>
      </w:r>
      <w:r w:rsidR="00906055">
        <w:rPr>
          <w:color w:val="000000"/>
        </w:rPr>
        <w:t>J</w:t>
      </w:r>
      <w:r w:rsidRPr="00B66CE9">
        <w:rPr>
          <w:color w:val="000000"/>
        </w:rPr>
        <w:t xml:space="preserve">ustifications:  </w:t>
      </w:r>
      <w:r w:rsidRPr="000B2D0C">
        <w:rPr>
          <w:color w:val="000000"/>
        </w:rPr>
        <w:t>None</w:t>
      </w:r>
      <w:r w:rsidRPr="00B66CE9">
        <w:rPr>
          <w:color w:val="000000"/>
        </w:rPr>
        <w:t>.</w:t>
      </w:r>
    </w:p>
    <w:p w14:paraId="7D5653AD" w14:textId="77777777" w:rsidR="00D91394" w:rsidRDefault="005665F6" w:rsidP="006D1595">
      <w:pPr>
        <w:jc w:val="both"/>
        <w:rPr>
          <w:color w:val="000000"/>
        </w:rPr>
      </w:pPr>
      <w:r>
        <w:rPr>
          <w:color w:val="000000"/>
        </w:rPr>
        <w:br w:type="page"/>
      </w:r>
    </w:p>
    <w:p w14:paraId="504D6DE0" w14:textId="1271F3E8" w:rsidR="004A6969" w:rsidRDefault="000B2D0C" w:rsidP="000B2D0C">
      <w:pPr>
        <w:jc w:val="center"/>
        <w:rPr>
          <w:color w:val="000000"/>
        </w:rPr>
      </w:pPr>
      <w:r>
        <w:rPr>
          <w:noProof/>
        </w:rPr>
        <w:drawing>
          <wp:inline distT="0" distB="0" distL="0" distR="0" wp14:anchorId="38A6C5A7" wp14:editId="70F95E3F">
            <wp:extent cx="5933333" cy="7676190"/>
            <wp:effectExtent l="0" t="0" r="0" b="127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6"/>
                    <a:stretch>
                      <a:fillRect/>
                    </a:stretch>
                  </pic:blipFill>
                  <pic:spPr>
                    <a:xfrm>
                      <a:off x="0" y="0"/>
                      <a:ext cx="5933333" cy="7676190"/>
                    </a:xfrm>
                    <a:prstGeom prst="rect">
                      <a:avLst/>
                    </a:prstGeom>
                  </pic:spPr>
                </pic:pic>
              </a:graphicData>
            </a:graphic>
          </wp:inline>
        </w:drawing>
      </w:r>
      <w:r w:rsidR="00E17C92">
        <w:rPr>
          <w:color w:val="000000"/>
        </w:rPr>
        <w:br w:type="page"/>
      </w:r>
    </w:p>
    <w:p w14:paraId="457D1346" w14:textId="3F0AEE26" w:rsidR="00E17C92" w:rsidRDefault="000B2D0C" w:rsidP="000B2D0C">
      <w:pPr>
        <w:jc w:val="center"/>
        <w:rPr>
          <w:color w:val="000000"/>
        </w:rPr>
      </w:pPr>
      <w:r>
        <w:rPr>
          <w:noProof/>
        </w:rPr>
        <w:drawing>
          <wp:inline distT="0" distB="0" distL="0" distR="0" wp14:anchorId="215EEB78" wp14:editId="517C0EE5">
            <wp:extent cx="5933333" cy="7676190"/>
            <wp:effectExtent l="0" t="0" r="0" b="127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7"/>
                    <a:stretch>
                      <a:fillRect/>
                    </a:stretch>
                  </pic:blipFill>
                  <pic:spPr>
                    <a:xfrm>
                      <a:off x="0" y="0"/>
                      <a:ext cx="5933333" cy="7676190"/>
                    </a:xfrm>
                    <a:prstGeom prst="rect">
                      <a:avLst/>
                    </a:prstGeom>
                  </pic:spPr>
                </pic:pic>
              </a:graphicData>
            </a:graphic>
          </wp:inline>
        </w:drawing>
      </w:r>
    </w:p>
    <w:p w14:paraId="6A5949A8" w14:textId="77777777" w:rsidR="00E17C92" w:rsidRDefault="00E17C92" w:rsidP="006D1595">
      <w:pPr>
        <w:jc w:val="both"/>
        <w:rPr>
          <w:color w:val="000000"/>
        </w:rPr>
      </w:pPr>
      <w:r>
        <w:rPr>
          <w:color w:val="000000"/>
        </w:rPr>
        <w:br w:type="page"/>
      </w:r>
    </w:p>
    <w:p w14:paraId="7E6B9B14" w14:textId="011BD519" w:rsidR="00E17C92" w:rsidRDefault="000B2D0C" w:rsidP="000B2D0C">
      <w:pPr>
        <w:jc w:val="center"/>
        <w:rPr>
          <w:color w:val="000000"/>
        </w:rPr>
      </w:pPr>
      <w:r>
        <w:rPr>
          <w:noProof/>
        </w:rPr>
        <w:drawing>
          <wp:inline distT="0" distB="0" distL="0" distR="0" wp14:anchorId="23CAC6F9" wp14:editId="353FFC5A">
            <wp:extent cx="5933333" cy="7676190"/>
            <wp:effectExtent l="0" t="0" r="0" b="127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8"/>
                    <a:stretch>
                      <a:fillRect/>
                    </a:stretch>
                  </pic:blipFill>
                  <pic:spPr>
                    <a:xfrm>
                      <a:off x="0" y="0"/>
                      <a:ext cx="5933333" cy="7676190"/>
                    </a:xfrm>
                    <a:prstGeom prst="rect">
                      <a:avLst/>
                    </a:prstGeom>
                  </pic:spPr>
                </pic:pic>
              </a:graphicData>
            </a:graphic>
          </wp:inline>
        </w:drawing>
      </w:r>
    </w:p>
    <w:p w14:paraId="0129416F" w14:textId="77777777" w:rsidR="00E17C92" w:rsidRDefault="00E17C92" w:rsidP="006D1595">
      <w:pPr>
        <w:jc w:val="both"/>
        <w:rPr>
          <w:color w:val="000000"/>
        </w:rPr>
      </w:pPr>
      <w:r>
        <w:rPr>
          <w:color w:val="000000"/>
        </w:rPr>
        <w:br w:type="page"/>
      </w:r>
    </w:p>
    <w:p w14:paraId="26BFF9D8" w14:textId="0D04AADC" w:rsidR="00D91394" w:rsidRPr="00B66CE9" w:rsidRDefault="000B2D0C" w:rsidP="000B2D0C">
      <w:pPr>
        <w:jc w:val="center"/>
        <w:rPr>
          <w:color w:val="000000"/>
        </w:rPr>
      </w:pPr>
      <w:r>
        <w:rPr>
          <w:noProof/>
        </w:rPr>
        <w:drawing>
          <wp:inline distT="0" distB="0" distL="0" distR="0" wp14:anchorId="071B6E60" wp14:editId="4266120C">
            <wp:extent cx="5933333" cy="7676190"/>
            <wp:effectExtent l="0" t="0" r="0" b="127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9"/>
                    <a:stretch>
                      <a:fillRect/>
                    </a:stretch>
                  </pic:blipFill>
                  <pic:spPr>
                    <a:xfrm>
                      <a:off x="0" y="0"/>
                      <a:ext cx="5933333" cy="7676190"/>
                    </a:xfrm>
                    <a:prstGeom prst="rect">
                      <a:avLst/>
                    </a:prstGeom>
                  </pic:spPr>
                </pic:pic>
              </a:graphicData>
            </a:graphic>
          </wp:inline>
        </w:drawing>
      </w:r>
    </w:p>
    <w:p w14:paraId="7467A0F5" w14:textId="1FC00C8F" w:rsidR="00103472" w:rsidRPr="00103472" w:rsidRDefault="00103472" w:rsidP="00103472">
      <w:pPr>
        <w:spacing w:before="240" w:after="120"/>
        <w:rPr>
          <w:szCs w:val="22"/>
          <w:highlight w:val="green"/>
        </w:rPr>
      </w:pPr>
    </w:p>
    <w:sectPr w:rsidR="00103472" w:rsidRPr="00103472" w:rsidSect="005F79CF">
      <w:headerReference w:type="even" r:id="rId90"/>
      <w:headerReference w:type="default" r:id="rId91"/>
      <w:headerReference w:type="first" r:id="rId92"/>
      <w:pgSz w:w="12240" w:h="15840" w:code="1"/>
      <w:pgMar w:top="1080" w:right="1080" w:bottom="1080" w:left="1080" w:header="720" w:footer="720" w:gutter="0"/>
      <w:paperSrc w:first="15" w:other="15"/>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B862B1F" w14:textId="77777777" w:rsidR="007506C1" w:rsidRDefault="007506C1">
      <w:r>
        <w:separator/>
      </w:r>
    </w:p>
  </w:endnote>
  <w:endnote w:type="continuationSeparator" w:id="0">
    <w:p w14:paraId="07DE22D0" w14:textId="77777777" w:rsidR="007506C1" w:rsidRDefault="007506C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02FF" w:usb1="4000ACFF" w:usb2="00000001" w:usb3="00000000" w:csb0="0000019F" w:csb1="00000000"/>
  </w:font>
  <w:font w:name="Lucida Sans">
    <w:panose1 w:val="020B0602030504020204"/>
    <w:charset w:val="00"/>
    <w:family w:val="swiss"/>
    <w:pitch w:val="variable"/>
    <w:sig w:usb0="00000003" w:usb1="00000000" w:usb2="00000000" w:usb3="00000000" w:csb0="00000001" w:csb1="00000000"/>
  </w:font>
  <w:font w:name="Adobe Fan Heiti Std B">
    <w:altName w:val="Yu Gothic"/>
    <w:panose1 w:val="00000000000000000000"/>
    <w:charset w:val="80"/>
    <w:family w:val="swiss"/>
    <w:notTrueType/>
    <w:pitch w:val="variable"/>
    <w:sig w:usb0="00000203" w:usb1="1A0F1900" w:usb2="00000016" w:usb3="00000000" w:csb0="00120005" w:csb1="00000000"/>
  </w:font>
  <w:font w:name="Cambria Math">
    <w:panose1 w:val="02040503050406030204"/>
    <w:charset w:val="00"/>
    <w:family w:val="roman"/>
    <w:pitch w:val="variable"/>
    <w:sig w:usb0="E00002FF" w:usb1="420024FF" w:usb2="00000000"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C086B32" w14:textId="77777777" w:rsidR="007506C1" w:rsidRDefault="007506C1">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19</w:t>
    </w:r>
    <w:r>
      <w:rPr>
        <w:rStyle w:val="PageNumber"/>
      </w:rPr>
      <w:fldChar w:fldCharType="end"/>
    </w:r>
  </w:p>
  <w:p w14:paraId="0A051224" w14:textId="77777777" w:rsidR="007506C1" w:rsidRDefault="007506C1">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9F63B8E" w14:textId="1CCBED67" w:rsidR="007506C1" w:rsidRDefault="007506C1">
    <w:pPr>
      <w:pStyle w:val="Footer"/>
      <w:ind w:right="360"/>
      <w:jc w:val="center"/>
    </w:pPr>
    <w:r>
      <w:rPr>
        <w:rStyle w:val="PageNumber"/>
      </w:rPr>
      <w:fldChar w:fldCharType="begin"/>
    </w:r>
    <w:r>
      <w:rPr>
        <w:rStyle w:val="PageNumber"/>
      </w:rPr>
      <w:instrText xml:space="preserve"> PAGE </w:instrText>
    </w:r>
    <w:r>
      <w:rPr>
        <w:rStyle w:val="PageNumber"/>
      </w:rPr>
      <w:fldChar w:fldCharType="separate"/>
    </w:r>
    <w:r w:rsidR="00585225">
      <w:rPr>
        <w:rStyle w:val="PageNumber"/>
        <w:noProof/>
      </w:rPr>
      <w:t>i</w:t>
    </w:r>
    <w:r>
      <w:rPr>
        <w:rStyle w:val="PageNumber"/>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FF56B26" w14:textId="77777777" w:rsidR="007506C1" w:rsidRDefault="007506C1">
    <w:pPr>
      <w:pStyle w:val="Footer"/>
      <w:jc w:val="cen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B492C68" w14:textId="77777777" w:rsidR="007506C1" w:rsidRPr="00181EB3" w:rsidRDefault="00585225" w:rsidP="00A977D5">
    <w:pPr>
      <w:pStyle w:val="Footer"/>
      <w:jc w:val="center"/>
      <w:rPr>
        <w:szCs w:val="22"/>
      </w:rPr>
    </w:pPr>
    <w:hyperlink r:id="rId1" w:history="1">
      <w:r w:rsidR="007506C1" w:rsidRPr="00181EB3">
        <w:rPr>
          <w:rStyle w:val="Hyperlink"/>
          <w:i/>
          <w:color w:val="7F7F7F" w:themeColor="text1" w:themeTint="80"/>
          <w:szCs w:val="22"/>
          <w:u w:val="none"/>
        </w:rPr>
        <w:t>www.dep.state.fl.us</w:t>
      </w:r>
    </w:hyperlink>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F676C4B" w14:textId="77777777" w:rsidR="007506C1" w:rsidRPr="0014142B" w:rsidRDefault="007506C1" w:rsidP="0014142B">
    <w:pPr>
      <w:pBdr>
        <w:top w:val="single" w:sz="6" w:space="1" w:color="auto"/>
      </w:pBdr>
      <w:tabs>
        <w:tab w:val="right" w:pos="10080"/>
      </w:tabs>
      <w:spacing w:before="240"/>
      <w:rPr>
        <w:sz w:val="20"/>
      </w:rPr>
    </w:pPr>
    <w:r w:rsidRPr="0014142B">
      <w:rPr>
        <w:sz w:val="20"/>
      </w:rPr>
      <w:t>Florida Power and Light Company</w:t>
    </w:r>
    <w:r w:rsidRPr="0014142B">
      <w:rPr>
        <w:sz w:val="20"/>
      </w:rPr>
      <w:tab/>
      <w:t>Permit No. 0850001-042-AV</w:t>
    </w:r>
  </w:p>
  <w:p w14:paraId="7DB23FAD" w14:textId="77777777" w:rsidR="007506C1" w:rsidRPr="0014142B" w:rsidRDefault="007506C1" w:rsidP="0014142B">
    <w:pPr>
      <w:tabs>
        <w:tab w:val="right" w:pos="10080"/>
      </w:tabs>
      <w:rPr>
        <w:sz w:val="20"/>
      </w:rPr>
    </w:pPr>
    <w:r w:rsidRPr="0014142B">
      <w:rPr>
        <w:sz w:val="20"/>
      </w:rPr>
      <w:t>Martin Power Plant</w:t>
    </w:r>
    <w:r w:rsidRPr="0014142B">
      <w:rPr>
        <w:sz w:val="20"/>
      </w:rPr>
      <w:tab/>
      <w:t>Title V Air Operation Permit Renewal</w:t>
    </w:r>
  </w:p>
  <w:p w14:paraId="6E00C3D5" w14:textId="798F2164" w:rsidR="007506C1" w:rsidRPr="00D84F3C" w:rsidRDefault="007506C1" w:rsidP="000A0A5C">
    <w:pPr>
      <w:pStyle w:val="Footer"/>
      <w:tabs>
        <w:tab w:val="clear" w:pos="4320"/>
        <w:tab w:val="clear" w:pos="8640"/>
      </w:tabs>
      <w:jc w:val="center"/>
      <w:rPr>
        <w:sz w:val="20"/>
      </w:rPr>
    </w:pPr>
    <w:r w:rsidRPr="00D84F3C">
      <w:rPr>
        <w:sz w:val="20"/>
      </w:rPr>
      <w:t xml:space="preserve">Page </w:t>
    </w:r>
    <w:r w:rsidRPr="00D84F3C">
      <w:rPr>
        <w:rStyle w:val="PageNumber"/>
        <w:sz w:val="20"/>
      </w:rPr>
      <w:fldChar w:fldCharType="begin"/>
    </w:r>
    <w:r w:rsidRPr="00D84F3C">
      <w:rPr>
        <w:rStyle w:val="PageNumber"/>
        <w:sz w:val="20"/>
      </w:rPr>
      <w:instrText xml:space="preserve"> PAGE </w:instrText>
    </w:r>
    <w:r w:rsidRPr="00D84F3C">
      <w:rPr>
        <w:rStyle w:val="PageNumber"/>
        <w:sz w:val="20"/>
      </w:rPr>
      <w:fldChar w:fldCharType="separate"/>
    </w:r>
    <w:r w:rsidR="00585225">
      <w:rPr>
        <w:rStyle w:val="PageNumber"/>
        <w:noProof/>
        <w:sz w:val="20"/>
      </w:rPr>
      <w:t>65</w:t>
    </w:r>
    <w:r w:rsidRPr="00D84F3C">
      <w:rPr>
        <w:rStyle w:val="PageNumber"/>
        <w:sz w:val="20"/>
      </w:rPr>
      <w:fldChar w:fldCharType="end"/>
    </w:r>
    <w:r w:rsidRPr="00D84F3C">
      <w:rPr>
        <w:rStyle w:val="PageNumber"/>
        <w:sz w:val="20"/>
      </w:rPr>
      <w:t xml:space="preserve"> of </w:t>
    </w:r>
    <w:r>
      <w:rPr>
        <w:rStyle w:val="PageNumber"/>
        <w:sz w:val="20"/>
      </w:rPr>
      <w:t>76</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F54C687" w14:textId="77777777" w:rsidR="007506C1" w:rsidRDefault="007506C1">
      <w:r>
        <w:separator/>
      </w:r>
    </w:p>
  </w:footnote>
  <w:footnote w:type="continuationSeparator" w:id="0">
    <w:p w14:paraId="0D66360C" w14:textId="77777777" w:rsidR="007506C1" w:rsidRDefault="007506C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5F75931" w14:textId="1AFA7BB0" w:rsidR="007506C1" w:rsidRDefault="007506C1">
    <w:pPr>
      <w:pStyle w:val="Header"/>
    </w:pPr>
    <w:r>
      <w:tab/>
    </w: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646EA5A" w14:textId="1A1E490D" w:rsidR="007506C1" w:rsidRDefault="007506C1">
    <w:pPr>
      <w:pStyle w:val="Header"/>
    </w:pP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DA7B875" w14:textId="6302B3E9" w:rsidR="007506C1" w:rsidRDefault="007506C1">
    <w:pPr>
      <w:pStyle w:val="Header"/>
    </w:pP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09063C2" w14:textId="79BCE149" w:rsidR="007506C1" w:rsidRPr="00A94602" w:rsidRDefault="007506C1" w:rsidP="004531FB">
    <w:pPr>
      <w:pStyle w:val="Header"/>
      <w:pBdr>
        <w:bottom w:val="single" w:sz="4" w:space="1" w:color="auto"/>
      </w:pBdr>
      <w:tabs>
        <w:tab w:val="clear" w:pos="8640"/>
      </w:tabs>
      <w:spacing w:after="240"/>
      <w:jc w:val="center"/>
      <w:rPr>
        <w:b/>
        <w:caps/>
        <w:sz w:val="20"/>
      </w:rPr>
    </w:pPr>
    <w:r>
      <w:rPr>
        <w:b/>
        <w:caps/>
        <w:szCs w:val="22"/>
      </w:rPr>
      <w:t>S</w:t>
    </w:r>
    <w:r w:rsidRPr="00D059D9">
      <w:rPr>
        <w:b/>
        <w:caps/>
        <w:szCs w:val="22"/>
      </w:rPr>
      <w:t xml:space="preserve">ection II.  </w:t>
    </w:r>
    <w:r>
      <w:rPr>
        <w:b/>
        <w:caps/>
        <w:szCs w:val="22"/>
      </w:rPr>
      <w:t xml:space="preserve">Facility-wide </w:t>
    </w:r>
    <w:r w:rsidRPr="00D059D9">
      <w:rPr>
        <w:b/>
        <w:caps/>
        <w:szCs w:val="22"/>
      </w:rPr>
      <w:t>Conditions.</w:t>
    </w: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611AA95" w14:textId="0CE5B2A2" w:rsidR="007506C1" w:rsidRDefault="007506C1">
    <w:pPr>
      <w:pStyle w:val="Header"/>
    </w:pPr>
  </w:p>
</w:hdr>
</file>

<file path=word/header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217D170" w14:textId="64D93B7D" w:rsidR="007506C1" w:rsidRDefault="007506C1">
    <w:pPr>
      <w:pStyle w:val="Header"/>
    </w:pPr>
  </w:p>
</w:hdr>
</file>

<file path=word/header1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6527452" w14:textId="7CCC1FE5" w:rsidR="007506C1" w:rsidRDefault="007506C1" w:rsidP="007837FB">
    <w:pPr>
      <w:pStyle w:val="Header"/>
      <w:pBdr>
        <w:bottom w:val="single" w:sz="4" w:space="1" w:color="auto"/>
      </w:pBdr>
      <w:tabs>
        <w:tab w:val="clear" w:pos="8640"/>
      </w:tabs>
      <w:jc w:val="center"/>
      <w:rPr>
        <w:b/>
        <w:caps/>
        <w:szCs w:val="22"/>
      </w:rPr>
    </w:pPr>
    <w:r>
      <w:rPr>
        <w:b/>
        <w:caps/>
        <w:szCs w:val="22"/>
      </w:rPr>
      <w:t>S</w:t>
    </w:r>
    <w:r w:rsidRPr="00D059D9">
      <w:rPr>
        <w:b/>
        <w:caps/>
        <w:szCs w:val="22"/>
      </w:rPr>
      <w:t>ection III.  Emissions Unit</w:t>
    </w:r>
    <w:r>
      <w:rPr>
        <w:b/>
        <w:caps/>
        <w:szCs w:val="22"/>
      </w:rPr>
      <w:t xml:space="preserve">s and Specific </w:t>
    </w:r>
    <w:r w:rsidRPr="00D059D9">
      <w:rPr>
        <w:b/>
        <w:caps/>
        <w:szCs w:val="22"/>
      </w:rPr>
      <w:t>Conditions.</w:t>
    </w:r>
  </w:p>
  <w:p w14:paraId="4445307A" w14:textId="4DB64494" w:rsidR="007506C1" w:rsidRPr="00A94602" w:rsidRDefault="007506C1" w:rsidP="007837FB">
    <w:pPr>
      <w:pStyle w:val="Header"/>
      <w:tabs>
        <w:tab w:val="clear" w:pos="8640"/>
      </w:tabs>
      <w:spacing w:after="240"/>
      <w:jc w:val="center"/>
      <w:rPr>
        <w:b/>
        <w:caps/>
        <w:sz w:val="20"/>
      </w:rPr>
    </w:pPr>
    <w:r w:rsidRPr="005C3500">
      <w:rPr>
        <w:b/>
        <w:caps/>
        <w:szCs w:val="22"/>
      </w:rPr>
      <w:t>S</w:t>
    </w:r>
    <w:r w:rsidRPr="005C3500">
      <w:rPr>
        <w:b/>
        <w:szCs w:val="22"/>
      </w:rPr>
      <w:t>ubsection</w:t>
    </w:r>
    <w:r w:rsidRPr="005C3500">
      <w:rPr>
        <w:b/>
        <w:caps/>
        <w:szCs w:val="22"/>
      </w:rPr>
      <w:t xml:space="preserve"> A.  </w:t>
    </w:r>
    <w:r w:rsidRPr="005C3500">
      <w:rPr>
        <w:b/>
        <w:szCs w:val="22"/>
      </w:rPr>
      <w:t>Emissions Units 001 and 002</w:t>
    </w:r>
  </w:p>
</w:hdr>
</file>

<file path=word/header1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388617D" w14:textId="5E1BA015" w:rsidR="007506C1" w:rsidRDefault="007506C1">
    <w:pPr>
      <w:pStyle w:val="Header"/>
    </w:pPr>
  </w:p>
</w:hdr>
</file>

<file path=word/header1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91947FE" w14:textId="5065C4DA" w:rsidR="007506C1" w:rsidRDefault="007506C1">
    <w:pPr>
      <w:pStyle w:val="Header"/>
    </w:pPr>
  </w:p>
</w:hdr>
</file>

<file path=word/header1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13CD712" w14:textId="6B3DCB8A" w:rsidR="007506C1" w:rsidRDefault="007506C1" w:rsidP="007837FB">
    <w:pPr>
      <w:pStyle w:val="Header"/>
      <w:pBdr>
        <w:bottom w:val="single" w:sz="4" w:space="1" w:color="auto"/>
      </w:pBdr>
      <w:tabs>
        <w:tab w:val="clear" w:pos="8640"/>
      </w:tabs>
      <w:jc w:val="center"/>
      <w:rPr>
        <w:b/>
        <w:caps/>
        <w:szCs w:val="22"/>
      </w:rPr>
    </w:pPr>
    <w:r>
      <w:rPr>
        <w:b/>
        <w:caps/>
        <w:szCs w:val="22"/>
      </w:rPr>
      <w:t>S</w:t>
    </w:r>
    <w:r w:rsidRPr="00D059D9">
      <w:rPr>
        <w:b/>
        <w:caps/>
        <w:szCs w:val="22"/>
      </w:rPr>
      <w:t>ection III.  Emissions Unit</w:t>
    </w:r>
    <w:r>
      <w:rPr>
        <w:b/>
        <w:caps/>
        <w:szCs w:val="22"/>
      </w:rPr>
      <w:t xml:space="preserve">s and Specific </w:t>
    </w:r>
    <w:r w:rsidRPr="00D059D9">
      <w:rPr>
        <w:b/>
        <w:caps/>
        <w:szCs w:val="22"/>
      </w:rPr>
      <w:t>Conditions.</w:t>
    </w:r>
  </w:p>
  <w:p w14:paraId="66139B16" w14:textId="7750ED70" w:rsidR="007506C1" w:rsidRPr="00A94602" w:rsidRDefault="007506C1" w:rsidP="007837FB">
    <w:pPr>
      <w:pStyle w:val="Header"/>
      <w:tabs>
        <w:tab w:val="clear" w:pos="8640"/>
      </w:tabs>
      <w:spacing w:after="240"/>
      <w:jc w:val="center"/>
      <w:rPr>
        <w:b/>
        <w:caps/>
        <w:sz w:val="20"/>
      </w:rPr>
    </w:pPr>
    <w:r>
      <w:rPr>
        <w:b/>
        <w:caps/>
        <w:szCs w:val="22"/>
      </w:rPr>
      <w:t>S</w:t>
    </w:r>
    <w:r>
      <w:rPr>
        <w:b/>
        <w:szCs w:val="22"/>
      </w:rPr>
      <w:t>ubsection</w:t>
    </w:r>
    <w:r>
      <w:rPr>
        <w:b/>
        <w:caps/>
        <w:szCs w:val="22"/>
      </w:rPr>
      <w:t xml:space="preserve"> B.  </w:t>
    </w:r>
    <w:r>
      <w:rPr>
        <w:b/>
        <w:szCs w:val="22"/>
      </w:rPr>
      <w:t>Emissions Units 003, 004, 005 and 006</w:t>
    </w:r>
  </w:p>
</w:hdr>
</file>

<file path=word/header1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15FAAF5" w14:textId="3DF08D33" w:rsidR="007506C1" w:rsidRDefault="007506C1">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68B50B5" w14:textId="28408FA9" w:rsidR="007506C1" w:rsidRDefault="007506C1">
    <w:pPr>
      <w:pStyle w:val="Header"/>
    </w:pPr>
  </w:p>
</w:hdr>
</file>

<file path=word/header2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2F42705" w14:textId="3B8DA502" w:rsidR="007506C1" w:rsidRDefault="007506C1">
    <w:pPr>
      <w:pStyle w:val="Header"/>
    </w:pPr>
  </w:p>
</w:hdr>
</file>

<file path=word/header2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659538B" w14:textId="440022BB" w:rsidR="007506C1" w:rsidRDefault="007506C1" w:rsidP="007837FB">
    <w:pPr>
      <w:pStyle w:val="Header"/>
      <w:pBdr>
        <w:bottom w:val="single" w:sz="4" w:space="1" w:color="auto"/>
      </w:pBdr>
      <w:tabs>
        <w:tab w:val="clear" w:pos="8640"/>
      </w:tabs>
      <w:jc w:val="center"/>
      <w:rPr>
        <w:b/>
        <w:caps/>
        <w:szCs w:val="22"/>
      </w:rPr>
    </w:pPr>
    <w:r>
      <w:rPr>
        <w:b/>
        <w:caps/>
        <w:szCs w:val="22"/>
      </w:rPr>
      <w:t>S</w:t>
    </w:r>
    <w:r w:rsidRPr="00D059D9">
      <w:rPr>
        <w:b/>
        <w:caps/>
        <w:szCs w:val="22"/>
      </w:rPr>
      <w:t>ection III.  Emissions Unit</w:t>
    </w:r>
    <w:r>
      <w:rPr>
        <w:b/>
        <w:caps/>
        <w:szCs w:val="22"/>
      </w:rPr>
      <w:t xml:space="preserve">s and Specific </w:t>
    </w:r>
    <w:r w:rsidRPr="00D059D9">
      <w:rPr>
        <w:b/>
        <w:caps/>
        <w:szCs w:val="22"/>
      </w:rPr>
      <w:t>Conditions.</w:t>
    </w:r>
  </w:p>
  <w:p w14:paraId="7BE6AD18" w14:textId="225E0E16" w:rsidR="007506C1" w:rsidRPr="00A94602" w:rsidRDefault="007506C1" w:rsidP="007837FB">
    <w:pPr>
      <w:pStyle w:val="Header"/>
      <w:tabs>
        <w:tab w:val="clear" w:pos="8640"/>
      </w:tabs>
      <w:spacing w:after="240"/>
      <w:jc w:val="center"/>
      <w:rPr>
        <w:b/>
        <w:caps/>
        <w:sz w:val="20"/>
      </w:rPr>
    </w:pPr>
    <w:r>
      <w:rPr>
        <w:b/>
        <w:caps/>
        <w:szCs w:val="22"/>
      </w:rPr>
      <w:t>S</w:t>
    </w:r>
    <w:r>
      <w:rPr>
        <w:b/>
        <w:szCs w:val="22"/>
      </w:rPr>
      <w:t>ubsection</w:t>
    </w:r>
    <w:r>
      <w:rPr>
        <w:b/>
        <w:caps/>
        <w:szCs w:val="22"/>
      </w:rPr>
      <w:t xml:space="preserve"> C.  </w:t>
    </w:r>
    <w:r>
      <w:rPr>
        <w:b/>
        <w:szCs w:val="22"/>
      </w:rPr>
      <w:t>Emissions Unit 026</w:t>
    </w:r>
  </w:p>
</w:hdr>
</file>

<file path=word/header2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73FD8B4" w14:textId="3CB66000" w:rsidR="007506C1" w:rsidRDefault="007506C1">
    <w:pPr>
      <w:pStyle w:val="Header"/>
    </w:pPr>
  </w:p>
</w:hdr>
</file>

<file path=word/header2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F636465" w14:textId="6477BC6E" w:rsidR="007506C1" w:rsidRDefault="007506C1">
    <w:pPr>
      <w:pStyle w:val="Header"/>
    </w:pPr>
  </w:p>
</w:hdr>
</file>

<file path=word/header2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F18BEF8" w14:textId="6084A7A5" w:rsidR="007506C1" w:rsidRDefault="007506C1" w:rsidP="004251AB">
    <w:pPr>
      <w:pStyle w:val="Header"/>
      <w:pBdr>
        <w:bottom w:val="single" w:sz="4" w:space="1" w:color="auto"/>
      </w:pBdr>
      <w:tabs>
        <w:tab w:val="clear" w:pos="8640"/>
      </w:tabs>
      <w:jc w:val="center"/>
      <w:rPr>
        <w:b/>
        <w:caps/>
        <w:szCs w:val="22"/>
      </w:rPr>
    </w:pPr>
    <w:r>
      <w:rPr>
        <w:b/>
        <w:caps/>
        <w:szCs w:val="22"/>
      </w:rPr>
      <w:t>S</w:t>
    </w:r>
    <w:r w:rsidRPr="00D059D9">
      <w:rPr>
        <w:b/>
        <w:caps/>
        <w:szCs w:val="22"/>
      </w:rPr>
      <w:t xml:space="preserve">ection </w:t>
    </w:r>
    <w:r>
      <w:rPr>
        <w:b/>
        <w:caps/>
        <w:szCs w:val="22"/>
      </w:rPr>
      <w:t>III</w:t>
    </w:r>
    <w:r w:rsidRPr="00D059D9">
      <w:rPr>
        <w:b/>
        <w:caps/>
        <w:szCs w:val="22"/>
      </w:rPr>
      <w:t>.  Emissions Unit</w:t>
    </w:r>
    <w:r>
      <w:rPr>
        <w:b/>
        <w:caps/>
        <w:szCs w:val="22"/>
      </w:rPr>
      <w:t xml:space="preserve">s and Specific </w:t>
    </w:r>
    <w:r w:rsidRPr="00D059D9">
      <w:rPr>
        <w:b/>
        <w:caps/>
        <w:szCs w:val="22"/>
      </w:rPr>
      <w:t>Conditions.</w:t>
    </w:r>
  </w:p>
  <w:p w14:paraId="1362E73E" w14:textId="51AD39C8" w:rsidR="007506C1" w:rsidRPr="00A532D4" w:rsidRDefault="007506C1" w:rsidP="007837FB">
    <w:pPr>
      <w:pStyle w:val="Header"/>
      <w:tabs>
        <w:tab w:val="clear" w:pos="8640"/>
      </w:tabs>
      <w:spacing w:after="240"/>
      <w:jc w:val="center"/>
      <w:rPr>
        <w:b/>
        <w:szCs w:val="22"/>
      </w:rPr>
    </w:pPr>
    <w:r>
      <w:rPr>
        <w:b/>
        <w:szCs w:val="22"/>
      </w:rPr>
      <w:t>Subsection D.  Emissions Units 011, 012, 017, 018</w:t>
    </w:r>
  </w:p>
</w:hdr>
</file>

<file path=word/header2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BAD1C8B" w14:textId="54413414" w:rsidR="007506C1" w:rsidRDefault="007506C1">
    <w:pPr>
      <w:pStyle w:val="Header"/>
    </w:pPr>
  </w:p>
</w:hdr>
</file>

<file path=word/header2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7C044C6" w14:textId="5BD3334D" w:rsidR="007506C1" w:rsidRDefault="007506C1">
    <w:pPr>
      <w:pStyle w:val="Header"/>
    </w:pPr>
  </w:p>
</w:hdr>
</file>

<file path=word/header2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1829315" w14:textId="5063FC6B" w:rsidR="007506C1" w:rsidRDefault="007506C1" w:rsidP="004251AB">
    <w:pPr>
      <w:pStyle w:val="Header"/>
      <w:pBdr>
        <w:bottom w:val="single" w:sz="4" w:space="1" w:color="auto"/>
      </w:pBdr>
      <w:tabs>
        <w:tab w:val="clear" w:pos="8640"/>
      </w:tabs>
      <w:jc w:val="center"/>
      <w:rPr>
        <w:b/>
        <w:caps/>
        <w:szCs w:val="22"/>
      </w:rPr>
    </w:pPr>
    <w:r>
      <w:rPr>
        <w:b/>
        <w:caps/>
        <w:szCs w:val="22"/>
      </w:rPr>
      <w:t>S</w:t>
    </w:r>
    <w:r w:rsidRPr="00D059D9">
      <w:rPr>
        <w:b/>
        <w:caps/>
        <w:szCs w:val="22"/>
      </w:rPr>
      <w:t xml:space="preserve">ection </w:t>
    </w:r>
    <w:r>
      <w:rPr>
        <w:b/>
        <w:caps/>
        <w:szCs w:val="22"/>
      </w:rPr>
      <w:t>III</w:t>
    </w:r>
    <w:r w:rsidRPr="00D059D9">
      <w:rPr>
        <w:b/>
        <w:caps/>
        <w:szCs w:val="22"/>
      </w:rPr>
      <w:t xml:space="preserve">.  </w:t>
    </w:r>
    <w:r>
      <w:rPr>
        <w:b/>
        <w:caps/>
        <w:szCs w:val="22"/>
      </w:rPr>
      <w:t>Emissions units and specific conditions</w:t>
    </w:r>
    <w:r w:rsidRPr="00D059D9">
      <w:rPr>
        <w:b/>
        <w:caps/>
        <w:szCs w:val="22"/>
      </w:rPr>
      <w:t>.</w:t>
    </w:r>
  </w:p>
  <w:p w14:paraId="79515395" w14:textId="25202442" w:rsidR="007506C1" w:rsidRPr="00A532D4" w:rsidRDefault="007506C1" w:rsidP="007837FB">
    <w:pPr>
      <w:pStyle w:val="Header"/>
      <w:tabs>
        <w:tab w:val="clear" w:pos="8640"/>
      </w:tabs>
      <w:spacing w:after="240"/>
      <w:jc w:val="center"/>
      <w:rPr>
        <w:b/>
        <w:szCs w:val="22"/>
      </w:rPr>
    </w:pPr>
    <w:r>
      <w:rPr>
        <w:b/>
        <w:szCs w:val="22"/>
      </w:rPr>
      <w:t>Subsection E.  Emission Unit 019</w:t>
    </w:r>
  </w:p>
</w:hdr>
</file>

<file path=word/header2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6747F0E" w14:textId="5C203D0E" w:rsidR="007506C1" w:rsidRDefault="007506C1">
    <w:pPr>
      <w:pStyle w:val="Header"/>
    </w:pPr>
  </w:p>
</w:hdr>
</file>

<file path=word/header2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EF0824D" w14:textId="3476AE7E" w:rsidR="007506C1" w:rsidRDefault="007506C1">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33C93D7" w14:textId="4FD4124C" w:rsidR="007506C1" w:rsidRDefault="007506C1" w:rsidP="000C1108">
    <w:pPr>
      <w:pStyle w:val="Header"/>
      <w:pBdr>
        <w:bottom w:val="single" w:sz="4" w:space="1" w:color="auto"/>
      </w:pBdr>
      <w:tabs>
        <w:tab w:val="clear" w:pos="4320"/>
        <w:tab w:val="clear" w:pos="8640"/>
        <w:tab w:val="right" w:pos="10080"/>
      </w:tabs>
    </w:pPr>
    <w:r>
      <w:t>Florida Power and Light Company</w:t>
    </w:r>
    <w:r w:rsidRPr="00D2710D">
      <w:tab/>
    </w:r>
    <w:r>
      <w:t>Martin Power Plant</w:t>
    </w:r>
  </w:p>
</w:hdr>
</file>

<file path=word/header3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4071607" w14:textId="4810F150" w:rsidR="007506C1" w:rsidRDefault="007506C1" w:rsidP="004251AB">
    <w:pPr>
      <w:pStyle w:val="Header"/>
      <w:pBdr>
        <w:bottom w:val="single" w:sz="4" w:space="1" w:color="auto"/>
      </w:pBdr>
      <w:tabs>
        <w:tab w:val="clear" w:pos="8640"/>
      </w:tabs>
      <w:jc w:val="center"/>
      <w:rPr>
        <w:b/>
        <w:caps/>
        <w:szCs w:val="22"/>
      </w:rPr>
    </w:pPr>
    <w:r>
      <w:rPr>
        <w:b/>
        <w:caps/>
        <w:szCs w:val="22"/>
      </w:rPr>
      <w:t>S</w:t>
    </w:r>
    <w:r w:rsidRPr="00D059D9">
      <w:rPr>
        <w:b/>
        <w:caps/>
        <w:szCs w:val="22"/>
      </w:rPr>
      <w:t xml:space="preserve">ection </w:t>
    </w:r>
    <w:r>
      <w:rPr>
        <w:b/>
        <w:caps/>
        <w:szCs w:val="22"/>
      </w:rPr>
      <w:t>III</w:t>
    </w:r>
    <w:r w:rsidRPr="00D059D9">
      <w:rPr>
        <w:b/>
        <w:caps/>
        <w:szCs w:val="22"/>
      </w:rPr>
      <w:t xml:space="preserve">.  </w:t>
    </w:r>
    <w:r>
      <w:rPr>
        <w:b/>
        <w:caps/>
        <w:szCs w:val="22"/>
      </w:rPr>
      <w:t>Emissions units and specific conditions</w:t>
    </w:r>
    <w:r w:rsidRPr="00D059D9">
      <w:rPr>
        <w:b/>
        <w:caps/>
        <w:szCs w:val="22"/>
      </w:rPr>
      <w:t>.</w:t>
    </w:r>
  </w:p>
  <w:p w14:paraId="3EE4C523" w14:textId="576651C9" w:rsidR="007506C1" w:rsidRPr="00A532D4" w:rsidRDefault="007506C1" w:rsidP="007837FB">
    <w:pPr>
      <w:pStyle w:val="Header"/>
      <w:tabs>
        <w:tab w:val="clear" w:pos="8640"/>
      </w:tabs>
      <w:spacing w:after="240"/>
      <w:jc w:val="center"/>
      <w:rPr>
        <w:b/>
        <w:szCs w:val="22"/>
      </w:rPr>
    </w:pPr>
    <w:r>
      <w:rPr>
        <w:b/>
        <w:szCs w:val="22"/>
      </w:rPr>
      <w:t>Subsection F.  Emissions Unit 014</w:t>
    </w:r>
  </w:p>
</w:hdr>
</file>

<file path=word/header3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2A7175B" w14:textId="26D780D8" w:rsidR="007506C1" w:rsidRDefault="007506C1">
    <w:pPr>
      <w:pStyle w:val="Header"/>
    </w:pPr>
  </w:p>
</w:hdr>
</file>

<file path=word/header3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7BAD691" w14:textId="098C8296" w:rsidR="007506C1" w:rsidRDefault="007506C1">
    <w:pPr>
      <w:pStyle w:val="Header"/>
    </w:pPr>
  </w:p>
</w:hdr>
</file>

<file path=word/header3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5C687D3" w14:textId="6E7A5ADA" w:rsidR="007506C1" w:rsidRDefault="007506C1" w:rsidP="004251AB">
    <w:pPr>
      <w:pStyle w:val="Header"/>
      <w:pBdr>
        <w:bottom w:val="single" w:sz="4" w:space="1" w:color="auto"/>
      </w:pBdr>
      <w:tabs>
        <w:tab w:val="clear" w:pos="8640"/>
      </w:tabs>
      <w:jc w:val="center"/>
      <w:rPr>
        <w:b/>
        <w:caps/>
        <w:szCs w:val="22"/>
      </w:rPr>
    </w:pPr>
    <w:r>
      <w:rPr>
        <w:b/>
        <w:caps/>
        <w:szCs w:val="22"/>
      </w:rPr>
      <w:t>S</w:t>
    </w:r>
    <w:r w:rsidRPr="00D059D9">
      <w:rPr>
        <w:b/>
        <w:caps/>
        <w:szCs w:val="22"/>
      </w:rPr>
      <w:t xml:space="preserve">ection </w:t>
    </w:r>
    <w:r>
      <w:rPr>
        <w:b/>
        <w:caps/>
        <w:szCs w:val="22"/>
      </w:rPr>
      <w:t>III</w:t>
    </w:r>
    <w:r w:rsidRPr="00D059D9">
      <w:rPr>
        <w:b/>
        <w:caps/>
        <w:szCs w:val="22"/>
      </w:rPr>
      <w:t xml:space="preserve">.  </w:t>
    </w:r>
    <w:r>
      <w:rPr>
        <w:b/>
        <w:caps/>
        <w:szCs w:val="22"/>
      </w:rPr>
      <w:t>Emissions units and specific conditions</w:t>
    </w:r>
    <w:r w:rsidRPr="00D059D9">
      <w:rPr>
        <w:b/>
        <w:caps/>
        <w:szCs w:val="22"/>
      </w:rPr>
      <w:t>.</w:t>
    </w:r>
  </w:p>
  <w:p w14:paraId="3C55855D" w14:textId="3EEBA110" w:rsidR="007506C1" w:rsidRPr="00A532D4" w:rsidRDefault="007506C1" w:rsidP="007837FB">
    <w:pPr>
      <w:pStyle w:val="Header"/>
      <w:tabs>
        <w:tab w:val="clear" w:pos="8640"/>
      </w:tabs>
      <w:spacing w:after="240"/>
      <w:jc w:val="center"/>
      <w:rPr>
        <w:b/>
        <w:szCs w:val="22"/>
      </w:rPr>
    </w:pPr>
    <w:r>
      <w:rPr>
        <w:b/>
        <w:szCs w:val="22"/>
      </w:rPr>
      <w:t>Subsection G.  Emissions Unit 022</w:t>
    </w:r>
  </w:p>
</w:hdr>
</file>

<file path=word/header3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6DCF263" w14:textId="4D066639" w:rsidR="007506C1" w:rsidRDefault="007506C1">
    <w:pPr>
      <w:pStyle w:val="Header"/>
    </w:pPr>
  </w:p>
</w:hdr>
</file>

<file path=word/header3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B69D874" w14:textId="7A97E3CC" w:rsidR="007506C1" w:rsidRDefault="007506C1">
    <w:pPr>
      <w:pStyle w:val="Header"/>
    </w:pPr>
  </w:p>
</w:hdr>
</file>

<file path=word/header3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4DA7B83" w14:textId="300B0FD5" w:rsidR="007506C1" w:rsidRDefault="007506C1" w:rsidP="00637412">
    <w:pPr>
      <w:pStyle w:val="Header"/>
      <w:pBdr>
        <w:bottom w:val="single" w:sz="4" w:space="1" w:color="auto"/>
      </w:pBdr>
      <w:tabs>
        <w:tab w:val="clear" w:pos="8640"/>
      </w:tabs>
      <w:jc w:val="center"/>
      <w:rPr>
        <w:b/>
        <w:caps/>
        <w:szCs w:val="22"/>
      </w:rPr>
    </w:pPr>
    <w:bookmarkStart w:id="262" w:name="_Hlk520731006"/>
    <w:r>
      <w:rPr>
        <w:b/>
        <w:caps/>
        <w:szCs w:val="22"/>
      </w:rPr>
      <w:t>S</w:t>
    </w:r>
    <w:r w:rsidRPr="00D059D9">
      <w:rPr>
        <w:b/>
        <w:caps/>
        <w:szCs w:val="22"/>
      </w:rPr>
      <w:t xml:space="preserve">ection </w:t>
    </w:r>
    <w:r>
      <w:rPr>
        <w:b/>
        <w:caps/>
        <w:szCs w:val="22"/>
      </w:rPr>
      <w:t>III</w:t>
    </w:r>
    <w:r w:rsidRPr="00D059D9">
      <w:rPr>
        <w:b/>
        <w:caps/>
        <w:szCs w:val="22"/>
      </w:rPr>
      <w:t xml:space="preserve">.  </w:t>
    </w:r>
    <w:r>
      <w:rPr>
        <w:b/>
        <w:caps/>
        <w:szCs w:val="22"/>
      </w:rPr>
      <w:t>Emissions units and specific conditions</w:t>
    </w:r>
    <w:r w:rsidRPr="00D059D9">
      <w:rPr>
        <w:b/>
        <w:caps/>
        <w:szCs w:val="22"/>
      </w:rPr>
      <w:t>.</w:t>
    </w:r>
  </w:p>
  <w:p w14:paraId="047C3CF5" w14:textId="1FA4AED0" w:rsidR="007506C1" w:rsidRPr="00A532D4" w:rsidRDefault="007506C1" w:rsidP="00637412">
    <w:pPr>
      <w:pStyle w:val="Header"/>
      <w:tabs>
        <w:tab w:val="clear" w:pos="8640"/>
      </w:tabs>
      <w:spacing w:after="240"/>
      <w:jc w:val="center"/>
      <w:rPr>
        <w:b/>
        <w:szCs w:val="22"/>
      </w:rPr>
    </w:pPr>
    <w:r>
      <w:rPr>
        <w:b/>
        <w:szCs w:val="22"/>
      </w:rPr>
      <w:t>Subsection H.  Emissions Units 023</w:t>
    </w:r>
    <w:bookmarkEnd w:id="262"/>
  </w:p>
</w:hdr>
</file>

<file path=word/header3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564DF42" w14:textId="66FC5D65" w:rsidR="007506C1" w:rsidRDefault="007506C1">
    <w:pPr>
      <w:pStyle w:val="Header"/>
    </w:pPr>
  </w:p>
</w:hdr>
</file>

<file path=word/header3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31B28E6" w14:textId="3102A8EB" w:rsidR="007506C1" w:rsidRDefault="007506C1">
    <w:pPr>
      <w:pStyle w:val="Header"/>
    </w:pPr>
  </w:p>
</w:hdr>
</file>

<file path=word/header3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CD5FDDF" w14:textId="4E16FF96" w:rsidR="007506C1" w:rsidRDefault="007506C1" w:rsidP="00637412">
    <w:pPr>
      <w:pStyle w:val="Header"/>
      <w:pBdr>
        <w:bottom w:val="single" w:sz="4" w:space="1" w:color="auto"/>
      </w:pBdr>
      <w:tabs>
        <w:tab w:val="clear" w:pos="8640"/>
      </w:tabs>
      <w:jc w:val="center"/>
      <w:rPr>
        <w:b/>
        <w:caps/>
        <w:szCs w:val="22"/>
      </w:rPr>
    </w:pPr>
    <w:r>
      <w:rPr>
        <w:b/>
        <w:caps/>
        <w:szCs w:val="22"/>
      </w:rPr>
      <w:t>S</w:t>
    </w:r>
    <w:r w:rsidRPr="00D059D9">
      <w:rPr>
        <w:b/>
        <w:caps/>
        <w:szCs w:val="22"/>
      </w:rPr>
      <w:t xml:space="preserve">ection </w:t>
    </w:r>
    <w:r>
      <w:rPr>
        <w:b/>
        <w:caps/>
        <w:szCs w:val="22"/>
      </w:rPr>
      <w:t>III</w:t>
    </w:r>
    <w:r w:rsidRPr="00D059D9">
      <w:rPr>
        <w:b/>
        <w:caps/>
        <w:szCs w:val="22"/>
      </w:rPr>
      <w:t xml:space="preserve">.  </w:t>
    </w:r>
    <w:r>
      <w:rPr>
        <w:b/>
        <w:caps/>
        <w:szCs w:val="22"/>
      </w:rPr>
      <w:t>Emissions units and specific conditions</w:t>
    </w:r>
    <w:r w:rsidRPr="00D059D9">
      <w:rPr>
        <w:b/>
        <w:caps/>
        <w:szCs w:val="22"/>
      </w:rPr>
      <w:t>.</w:t>
    </w:r>
  </w:p>
  <w:p w14:paraId="28791281" w14:textId="50E7E83E" w:rsidR="007506C1" w:rsidRPr="00A532D4" w:rsidRDefault="007506C1" w:rsidP="00637412">
    <w:pPr>
      <w:pStyle w:val="Header"/>
      <w:tabs>
        <w:tab w:val="clear" w:pos="8640"/>
      </w:tabs>
      <w:spacing w:after="240"/>
      <w:jc w:val="center"/>
      <w:rPr>
        <w:b/>
        <w:szCs w:val="22"/>
      </w:rPr>
    </w:pPr>
    <w:r>
      <w:rPr>
        <w:b/>
        <w:szCs w:val="22"/>
      </w:rPr>
      <w:t>Subsection I.  Emissions Units 024 and 027</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5F0D26D" w14:textId="1667D419" w:rsidR="007506C1" w:rsidRDefault="007506C1">
    <w:pPr>
      <w:pStyle w:val="Header"/>
    </w:pPr>
  </w:p>
</w:hdr>
</file>

<file path=word/header4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0987133" w14:textId="336B28A2" w:rsidR="007506C1" w:rsidRDefault="007506C1">
    <w:pPr>
      <w:pStyle w:val="Header"/>
    </w:pPr>
  </w:p>
</w:hdr>
</file>

<file path=word/header4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00D9BE4" w14:textId="3ECCBFAA" w:rsidR="007506C1" w:rsidRDefault="007506C1">
    <w:pPr>
      <w:pStyle w:val="Header"/>
    </w:pPr>
  </w:p>
</w:hdr>
</file>

<file path=word/header4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22D302E" w14:textId="4FE1C44F" w:rsidR="007506C1" w:rsidRDefault="007506C1" w:rsidP="00103472">
    <w:pPr>
      <w:pStyle w:val="Header"/>
      <w:pBdr>
        <w:bottom w:val="single" w:sz="4" w:space="1" w:color="auto"/>
      </w:pBdr>
      <w:tabs>
        <w:tab w:val="clear" w:pos="8640"/>
      </w:tabs>
      <w:jc w:val="center"/>
      <w:rPr>
        <w:b/>
        <w:caps/>
        <w:szCs w:val="22"/>
      </w:rPr>
    </w:pPr>
    <w:r>
      <w:rPr>
        <w:b/>
        <w:caps/>
        <w:szCs w:val="22"/>
      </w:rPr>
      <w:t>S</w:t>
    </w:r>
    <w:r w:rsidRPr="00D059D9">
      <w:rPr>
        <w:b/>
        <w:caps/>
        <w:szCs w:val="22"/>
      </w:rPr>
      <w:t>ection I</w:t>
    </w:r>
    <w:r>
      <w:rPr>
        <w:b/>
        <w:caps/>
        <w:szCs w:val="22"/>
      </w:rPr>
      <w:t>V</w:t>
    </w:r>
    <w:r w:rsidRPr="00D059D9">
      <w:rPr>
        <w:b/>
        <w:caps/>
        <w:szCs w:val="22"/>
      </w:rPr>
      <w:t xml:space="preserve">.  </w:t>
    </w:r>
    <w:r>
      <w:rPr>
        <w:b/>
        <w:caps/>
        <w:szCs w:val="22"/>
      </w:rPr>
      <w:t>Acid Rain Part</w:t>
    </w:r>
    <w:r w:rsidRPr="00D059D9">
      <w:rPr>
        <w:b/>
        <w:caps/>
        <w:szCs w:val="22"/>
      </w:rPr>
      <w:t>.</w:t>
    </w:r>
  </w:p>
  <w:p w14:paraId="7E49DF7B" w14:textId="7A9E44BA" w:rsidR="007506C1" w:rsidRPr="006D1595" w:rsidRDefault="007506C1" w:rsidP="00103472">
    <w:pPr>
      <w:pStyle w:val="Header"/>
      <w:tabs>
        <w:tab w:val="clear" w:pos="8640"/>
      </w:tabs>
      <w:spacing w:after="240"/>
      <w:jc w:val="center"/>
      <w:rPr>
        <w:b/>
        <w:caps/>
        <w:szCs w:val="22"/>
      </w:rPr>
    </w:pPr>
    <w:r w:rsidRPr="00A532D4">
      <w:rPr>
        <w:b/>
        <w:szCs w:val="22"/>
      </w:rPr>
      <w:t>Federal Acid Rain Provisions</w:t>
    </w:r>
  </w:p>
</w:hdr>
</file>

<file path=word/header4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A41B069" w14:textId="6357EA84" w:rsidR="007506C1" w:rsidRDefault="007506C1">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3355715" w14:textId="38C93852" w:rsidR="007506C1" w:rsidRDefault="007506C1">
    <w:pPr>
      <w:pStyle w:val="Heade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pPr w:leftFromText="180" w:rightFromText="180" w:horzAnchor="margin" w:tblpXSpec="center" w:tblpY="-540"/>
      <w:tblW w:w="10708" w:type="dxa"/>
      <w:tblLayout w:type="fixed"/>
      <w:tblLook w:val="01E0" w:firstRow="1" w:lastRow="1" w:firstColumn="1" w:lastColumn="1" w:noHBand="0" w:noVBand="0"/>
    </w:tblPr>
    <w:tblGrid>
      <w:gridCol w:w="10708"/>
    </w:tblGrid>
    <w:tr w:rsidR="007506C1" w14:paraId="28CB04A1" w14:textId="77777777" w:rsidTr="00962991">
      <w:trPr>
        <w:trHeight w:val="2212"/>
      </w:trPr>
      <w:tc>
        <w:tcPr>
          <w:tcW w:w="10708" w:type="dxa"/>
        </w:tcPr>
        <w:p w14:paraId="5114DF65" w14:textId="7BB95F5C" w:rsidR="007506C1" w:rsidRPr="00776F3E" w:rsidRDefault="007506C1" w:rsidP="00962991">
          <w:pPr>
            <w:jc w:val="center"/>
            <w:rPr>
              <w:rFonts w:ascii="Lucida Sans" w:eastAsia="Adobe Fan Heiti Std B" w:hAnsi="Lucida Sans"/>
              <w:color w:val="006666"/>
              <w:sz w:val="20"/>
            </w:rPr>
          </w:pPr>
          <w:r>
            <w:rPr>
              <w:rFonts w:ascii="Lucida Sans" w:eastAsia="Adobe Fan Heiti Std B" w:hAnsi="Lucida Sans"/>
              <w:noProof/>
              <w:color w:val="006666"/>
              <w:sz w:val="20"/>
            </w:rPr>
            <w:drawing>
              <wp:inline distT="0" distB="0" distL="0" distR="0" wp14:anchorId="0F7D4D4A" wp14:editId="550AB738">
                <wp:extent cx="6183296" cy="1335029"/>
                <wp:effectExtent l="0" t="0" r="190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Letterhead.png"/>
                        <pic:cNvPicPr/>
                      </pic:nvPicPr>
                      <pic:blipFill>
                        <a:blip r:embed="rId1">
                          <a:extLst>
                            <a:ext uri="{28A0092B-C50C-407E-A947-70E740481C1C}">
                              <a14:useLocalDpi xmlns:a14="http://schemas.microsoft.com/office/drawing/2010/main" val="0"/>
                            </a:ext>
                          </a:extLst>
                        </a:blip>
                        <a:stretch>
                          <a:fillRect/>
                        </a:stretch>
                      </pic:blipFill>
                      <pic:spPr>
                        <a:xfrm>
                          <a:off x="0" y="0"/>
                          <a:ext cx="6183296" cy="1335029"/>
                        </a:xfrm>
                        <a:prstGeom prst="rect">
                          <a:avLst/>
                        </a:prstGeom>
                      </pic:spPr>
                    </pic:pic>
                  </a:graphicData>
                </a:graphic>
              </wp:inline>
            </w:drawing>
          </w:r>
        </w:p>
      </w:tc>
    </w:tr>
  </w:tbl>
  <w:p w14:paraId="2547527F" w14:textId="1A82770F" w:rsidR="007506C1" w:rsidRPr="00A977D5" w:rsidRDefault="007506C1" w:rsidP="00A977D5">
    <w:pPr>
      <w:pStyle w:val="Heade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2AD8CC8" w14:textId="15CEC787" w:rsidR="007506C1" w:rsidRDefault="007506C1">
    <w:pPr>
      <w:pStyle w:val="Header"/>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E776486" w14:textId="16E53FF5" w:rsidR="007506C1" w:rsidRDefault="007506C1">
    <w:pPr>
      <w:pStyle w:val="Header"/>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349FFC8" w14:textId="73D35160" w:rsidR="007506C1" w:rsidRPr="00A94602" w:rsidRDefault="007506C1" w:rsidP="004531FB">
    <w:pPr>
      <w:pStyle w:val="Header"/>
      <w:pBdr>
        <w:bottom w:val="single" w:sz="4" w:space="1" w:color="auto"/>
      </w:pBdr>
      <w:tabs>
        <w:tab w:val="clear" w:pos="8640"/>
      </w:tabs>
      <w:spacing w:after="240"/>
      <w:jc w:val="center"/>
      <w:rPr>
        <w:b/>
        <w:caps/>
        <w:sz w:val="20"/>
      </w:rPr>
    </w:pPr>
    <w:r w:rsidRPr="00BC4CC4">
      <w:rPr>
        <w:b/>
        <w:caps/>
        <w:szCs w:val="22"/>
      </w:rPr>
      <w:t>Section I.  Facility Information.</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E461BD"/>
    <w:multiLevelType w:val="hybridMultilevel"/>
    <w:tmpl w:val="BE26675E"/>
    <w:lvl w:ilvl="0" w:tplc="959E3516">
      <w:start w:val="1"/>
      <w:numFmt w:val="lowerLetter"/>
      <w:lvlText w:val="%1."/>
      <w:lvlJc w:val="left"/>
      <w:pPr>
        <w:ind w:left="1080" w:hanging="360"/>
      </w:pPr>
      <w:rPr>
        <w:rFonts w:ascii="Times New Roman" w:hAnsi="Times New Roman" w:hint="default"/>
        <w:sz w:val="22"/>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 w15:restartNumberingAfterBreak="0">
    <w:nsid w:val="01D215E3"/>
    <w:multiLevelType w:val="hybridMultilevel"/>
    <w:tmpl w:val="9D7AED84"/>
    <w:lvl w:ilvl="0" w:tplc="EEF86612">
      <w:start w:val="1"/>
      <w:numFmt w:val="lowerLetter"/>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 w15:restartNumberingAfterBreak="0">
    <w:nsid w:val="03766E08"/>
    <w:multiLevelType w:val="hybridMultilevel"/>
    <w:tmpl w:val="DAF47B6C"/>
    <w:lvl w:ilvl="0" w:tplc="EEF86612">
      <w:start w:val="1"/>
      <w:numFmt w:val="lowerLetter"/>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 w15:restartNumberingAfterBreak="0">
    <w:nsid w:val="03F153E5"/>
    <w:multiLevelType w:val="hybridMultilevel"/>
    <w:tmpl w:val="9A682172"/>
    <w:lvl w:ilvl="0" w:tplc="57C8F2A0">
      <w:start w:val="1"/>
      <w:numFmt w:val="lowerLetter"/>
      <w:lvlText w:val="%1."/>
      <w:lvlJc w:val="left"/>
      <w:pPr>
        <w:ind w:left="720" w:hanging="360"/>
      </w:pPr>
      <w:rPr>
        <w:rFonts w:cs="Times New Roman" w:hint="default"/>
        <w:b w:val="0"/>
        <w:i w:val="0"/>
        <w:dstrike w:val="0"/>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 w15:restartNumberingAfterBreak="0">
    <w:nsid w:val="058C0D51"/>
    <w:multiLevelType w:val="hybridMultilevel"/>
    <w:tmpl w:val="D68074D6"/>
    <w:lvl w:ilvl="0" w:tplc="04090015">
      <w:start w:val="1"/>
      <w:numFmt w:val="upperLetter"/>
      <w:lvlText w:val="%1."/>
      <w:lvlJc w:val="left"/>
      <w:pPr>
        <w:ind w:left="2790" w:hanging="360"/>
      </w:pPr>
    </w:lvl>
    <w:lvl w:ilvl="1" w:tplc="04090019">
      <w:start w:val="1"/>
      <w:numFmt w:val="lowerLetter"/>
      <w:lvlText w:val="%2."/>
      <w:lvlJc w:val="left"/>
      <w:pPr>
        <w:ind w:left="1803" w:hanging="360"/>
      </w:pPr>
    </w:lvl>
    <w:lvl w:ilvl="2" w:tplc="0409001B">
      <w:start w:val="1"/>
      <w:numFmt w:val="lowerRoman"/>
      <w:lvlText w:val="%3."/>
      <w:lvlJc w:val="right"/>
      <w:pPr>
        <w:ind w:left="2523" w:hanging="180"/>
      </w:pPr>
    </w:lvl>
    <w:lvl w:ilvl="3" w:tplc="0409000F">
      <w:start w:val="1"/>
      <w:numFmt w:val="decimal"/>
      <w:lvlText w:val="%4."/>
      <w:lvlJc w:val="left"/>
      <w:pPr>
        <w:ind w:left="3243" w:hanging="360"/>
      </w:pPr>
    </w:lvl>
    <w:lvl w:ilvl="4" w:tplc="04090019">
      <w:start w:val="1"/>
      <w:numFmt w:val="lowerLetter"/>
      <w:lvlText w:val="%5."/>
      <w:lvlJc w:val="left"/>
      <w:pPr>
        <w:ind w:left="3963" w:hanging="360"/>
      </w:pPr>
    </w:lvl>
    <w:lvl w:ilvl="5" w:tplc="0409001B">
      <w:start w:val="1"/>
      <w:numFmt w:val="lowerRoman"/>
      <w:lvlText w:val="%6."/>
      <w:lvlJc w:val="right"/>
      <w:pPr>
        <w:ind w:left="4683" w:hanging="180"/>
      </w:pPr>
    </w:lvl>
    <w:lvl w:ilvl="6" w:tplc="0409000F">
      <w:start w:val="1"/>
      <w:numFmt w:val="decimal"/>
      <w:lvlText w:val="%7."/>
      <w:lvlJc w:val="left"/>
      <w:pPr>
        <w:ind w:left="5403" w:hanging="360"/>
      </w:pPr>
    </w:lvl>
    <w:lvl w:ilvl="7" w:tplc="04090019">
      <w:start w:val="1"/>
      <w:numFmt w:val="lowerLetter"/>
      <w:lvlText w:val="%8."/>
      <w:lvlJc w:val="left"/>
      <w:pPr>
        <w:ind w:left="6123" w:hanging="360"/>
      </w:pPr>
    </w:lvl>
    <w:lvl w:ilvl="8" w:tplc="0409001B">
      <w:start w:val="1"/>
      <w:numFmt w:val="lowerRoman"/>
      <w:lvlText w:val="%9."/>
      <w:lvlJc w:val="right"/>
      <w:pPr>
        <w:ind w:left="6843" w:hanging="180"/>
      </w:pPr>
    </w:lvl>
  </w:abstractNum>
  <w:abstractNum w:abstractNumId="5" w15:restartNumberingAfterBreak="0">
    <w:nsid w:val="0A1D3BC1"/>
    <w:multiLevelType w:val="hybridMultilevel"/>
    <w:tmpl w:val="D7CEBB2E"/>
    <w:lvl w:ilvl="0" w:tplc="AFC48D2A">
      <w:start w:val="1"/>
      <w:numFmt w:val="lowerLetter"/>
      <w:lvlText w:val="%1."/>
      <w:lvlJc w:val="left"/>
      <w:pPr>
        <w:tabs>
          <w:tab w:val="num" w:pos="1080"/>
        </w:tabs>
        <w:ind w:left="720" w:hanging="360"/>
      </w:pPr>
      <w:rPr>
        <w:rFonts w:hint="default"/>
        <w:b w:val="0"/>
        <w:i w:val="0"/>
      </w:rPr>
    </w:lvl>
    <w:lvl w:ilvl="1" w:tplc="D1763290">
      <w:start w:val="46"/>
      <w:numFmt w:val="decimal"/>
      <w:lvlText w:val="B.%2."/>
      <w:lvlJc w:val="left"/>
      <w:pPr>
        <w:tabs>
          <w:tab w:val="num" w:pos="0"/>
        </w:tabs>
        <w:ind w:left="0" w:firstLine="0"/>
      </w:pPr>
      <w:rPr>
        <w:rFonts w:hint="default"/>
        <w:b/>
        <w:i w:val="0"/>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 w15:restartNumberingAfterBreak="0">
    <w:nsid w:val="0C485903"/>
    <w:multiLevelType w:val="hybridMultilevel"/>
    <w:tmpl w:val="4238CCC6"/>
    <w:lvl w:ilvl="0" w:tplc="EEF86612">
      <w:start w:val="1"/>
      <w:numFmt w:val="lowerLetter"/>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7" w15:restartNumberingAfterBreak="0">
    <w:nsid w:val="0C931DD7"/>
    <w:multiLevelType w:val="hybridMultilevel"/>
    <w:tmpl w:val="249236D2"/>
    <w:lvl w:ilvl="0" w:tplc="869224D0">
      <w:start w:val="1"/>
      <w:numFmt w:val="lowerLetter"/>
      <w:lvlText w:val="%1."/>
      <w:lvlJc w:val="left"/>
      <w:pPr>
        <w:tabs>
          <w:tab w:val="num" w:pos="1080"/>
        </w:tabs>
        <w:ind w:left="360" w:firstLine="360"/>
      </w:pPr>
      <w:rPr>
        <w:rFonts w:ascii="Times New Roman" w:eastAsia="Times New Roman" w:hAnsi="Times New Roman" w:cs="Times New Roman"/>
        <w:b w:val="0"/>
        <w:i w:val="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 w15:restartNumberingAfterBreak="0">
    <w:nsid w:val="0EC955E4"/>
    <w:multiLevelType w:val="hybridMultilevel"/>
    <w:tmpl w:val="C7F6C864"/>
    <w:lvl w:ilvl="0" w:tplc="193C8678">
      <w:start w:val="1"/>
      <w:numFmt w:val="decimal"/>
      <w:lvlText w:val="(%1)"/>
      <w:lvlJc w:val="left"/>
      <w:pPr>
        <w:ind w:left="144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9" w15:restartNumberingAfterBreak="0">
    <w:nsid w:val="11632C49"/>
    <w:multiLevelType w:val="hybridMultilevel"/>
    <w:tmpl w:val="58BC7A3E"/>
    <w:lvl w:ilvl="0" w:tplc="959E3516">
      <w:start w:val="1"/>
      <w:numFmt w:val="lowerLetter"/>
      <w:lvlText w:val="%1."/>
      <w:lvlJc w:val="left"/>
      <w:pPr>
        <w:ind w:left="720" w:hanging="360"/>
      </w:pPr>
      <w:rPr>
        <w:rFonts w:ascii="Times New Roman" w:hAnsi="Times New Roman" w:hint="default"/>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12A865EF"/>
    <w:multiLevelType w:val="hybridMultilevel"/>
    <w:tmpl w:val="17161B46"/>
    <w:lvl w:ilvl="0" w:tplc="4A3C54D4">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1" w15:restartNumberingAfterBreak="0">
    <w:nsid w:val="12B43392"/>
    <w:multiLevelType w:val="hybridMultilevel"/>
    <w:tmpl w:val="6C403BD4"/>
    <w:lvl w:ilvl="0" w:tplc="18C8F9B6">
      <w:start w:val="1"/>
      <w:numFmt w:val="lowerLetter"/>
      <w:lvlText w:val="%1."/>
      <w:lvlJc w:val="left"/>
      <w:pPr>
        <w:tabs>
          <w:tab w:val="num" w:pos="720"/>
        </w:tabs>
        <w:ind w:left="360" w:firstLine="0"/>
      </w:pPr>
      <w:rPr>
        <w:rFonts w:hint="default"/>
        <w:b w:val="0"/>
        <w:i w:val="0"/>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15:restartNumberingAfterBreak="0">
    <w:nsid w:val="132807EE"/>
    <w:multiLevelType w:val="hybridMultilevel"/>
    <w:tmpl w:val="505C4230"/>
    <w:lvl w:ilvl="0" w:tplc="959E3516">
      <w:start w:val="1"/>
      <w:numFmt w:val="lowerLetter"/>
      <w:lvlText w:val="%1."/>
      <w:lvlJc w:val="left"/>
      <w:pPr>
        <w:ind w:left="720" w:hanging="360"/>
      </w:pPr>
      <w:rPr>
        <w:rFonts w:ascii="Times New Roman" w:hAnsi="Times New Roman" w:hint="default"/>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13333F8D"/>
    <w:multiLevelType w:val="hybridMultilevel"/>
    <w:tmpl w:val="80F6C99A"/>
    <w:lvl w:ilvl="0" w:tplc="959E3516">
      <w:start w:val="1"/>
      <w:numFmt w:val="lowerLetter"/>
      <w:lvlText w:val="%1."/>
      <w:lvlJc w:val="left"/>
      <w:pPr>
        <w:ind w:left="720" w:hanging="360"/>
      </w:pPr>
      <w:rPr>
        <w:rFonts w:ascii="Times New Roman" w:hAnsi="Times New Roman" w:hint="default"/>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16876286"/>
    <w:multiLevelType w:val="hybridMultilevel"/>
    <w:tmpl w:val="F27C3D34"/>
    <w:lvl w:ilvl="0" w:tplc="575E36C8">
      <w:start w:val="1"/>
      <w:numFmt w:val="lowerLetter"/>
      <w:lvlText w:val="%1."/>
      <w:lvlJc w:val="left"/>
      <w:pPr>
        <w:tabs>
          <w:tab w:val="num" w:pos="720"/>
        </w:tabs>
        <w:ind w:left="360" w:firstLine="0"/>
      </w:pPr>
      <w:rPr>
        <w:rFonts w:hint="default"/>
        <w:b w:val="0"/>
        <w:i w:val="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15:restartNumberingAfterBreak="0">
    <w:nsid w:val="18151511"/>
    <w:multiLevelType w:val="hybridMultilevel"/>
    <w:tmpl w:val="E720391E"/>
    <w:lvl w:ilvl="0" w:tplc="959E3516">
      <w:start w:val="1"/>
      <w:numFmt w:val="lowerLetter"/>
      <w:lvlText w:val="%1."/>
      <w:lvlJc w:val="left"/>
      <w:pPr>
        <w:ind w:left="720" w:hanging="360"/>
      </w:pPr>
      <w:rPr>
        <w:rFonts w:ascii="Times New Roman" w:hAnsi="Times New Roman" w:hint="default"/>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187870B3"/>
    <w:multiLevelType w:val="hybridMultilevel"/>
    <w:tmpl w:val="C172EA54"/>
    <w:lvl w:ilvl="0" w:tplc="413CEDB6">
      <w:start w:val="1"/>
      <w:numFmt w:val="decimal"/>
      <w:lvlText w:val="D.%1."/>
      <w:lvlJc w:val="left"/>
      <w:pPr>
        <w:tabs>
          <w:tab w:val="num" w:pos="0"/>
        </w:tabs>
        <w:ind w:left="360" w:hanging="360"/>
      </w:pPr>
      <w:rPr>
        <w:rFonts w:ascii="Times New Roman" w:hAnsi="Times New Roman" w:cs="Times New Roman" w:hint="default"/>
        <w:b/>
        <w:i w:val="0"/>
        <w:dstrike w:val="0"/>
        <w:sz w:val="22"/>
        <w:szCs w:val="22"/>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95BCCBAC">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7" w15:restartNumberingAfterBreak="0">
    <w:nsid w:val="19B32AE0"/>
    <w:multiLevelType w:val="hybridMultilevel"/>
    <w:tmpl w:val="AC5A9EB0"/>
    <w:lvl w:ilvl="0" w:tplc="959E3516">
      <w:start w:val="1"/>
      <w:numFmt w:val="lowerLetter"/>
      <w:lvlText w:val="%1."/>
      <w:lvlJc w:val="left"/>
      <w:pPr>
        <w:ind w:left="720" w:hanging="360"/>
      </w:pPr>
      <w:rPr>
        <w:rFonts w:ascii="Times New Roman" w:hAnsi="Times New Roman" w:hint="default"/>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19E47E09"/>
    <w:multiLevelType w:val="hybridMultilevel"/>
    <w:tmpl w:val="56A8F8CE"/>
    <w:lvl w:ilvl="0" w:tplc="959E3516">
      <w:start w:val="1"/>
      <w:numFmt w:val="lowerLetter"/>
      <w:lvlText w:val="%1."/>
      <w:lvlJc w:val="left"/>
      <w:pPr>
        <w:ind w:left="720" w:hanging="360"/>
      </w:pPr>
      <w:rPr>
        <w:rFonts w:ascii="Times New Roman" w:hAnsi="Times New Roman" w:hint="default"/>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19FB68CA"/>
    <w:multiLevelType w:val="hybridMultilevel"/>
    <w:tmpl w:val="BE5A2A40"/>
    <w:lvl w:ilvl="0" w:tplc="959E3516">
      <w:start w:val="1"/>
      <w:numFmt w:val="lowerLetter"/>
      <w:lvlText w:val="%1."/>
      <w:lvlJc w:val="left"/>
      <w:pPr>
        <w:ind w:left="720" w:hanging="360"/>
      </w:pPr>
      <w:rPr>
        <w:rFonts w:ascii="Times New Roman" w:hAnsi="Times New Roman" w:hint="default"/>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1A6424CF"/>
    <w:multiLevelType w:val="hybridMultilevel"/>
    <w:tmpl w:val="BE44EC18"/>
    <w:lvl w:ilvl="0" w:tplc="60063912">
      <w:start w:val="1"/>
      <w:numFmt w:val="decimal"/>
      <w:lvlText w:val="FW%1."/>
      <w:lvlJc w:val="left"/>
      <w:pPr>
        <w:tabs>
          <w:tab w:val="num" w:pos="450"/>
        </w:tabs>
        <w:ind w:left="0" w:firstLine="0"/>
      </w:pPr>
      <w:rPr>
        <w:rFonts w:ascii="Times New Roman" w:hAnsi="Times New Roman" w:cs="Times New Roman" w:hint="default"/>
        <w:b/>
        <w:i w:val="0"/>
        <w:sz w:val="22"/>
      </w:rPr>
    </w:lvl>
    <w:lvl w:ilvl="1" w:tplc="D94E20B4">
      <w:start w:val="1"/>
      <w:numFmt w:val="lowerLetter"/>
      <w:lvlText w:val="%2."/>
      <w:lvlJc w:val="left"/>
      <w:pPr>
        <w:tabs>
          <w:tab w:val="num" w:pos="810"/>
        </w:tabs>
        <w:ind w:left="810"/>
      </w:pPr>
      <w:rPr>
        <w:rFonts w:cs="Times New Roman" w:hint="default"/>
        <w:b/>
      </w:rPr>
    </w:lvl>
    <w:lvl w:ilvl="2" w:tplc="65E0D46E">
      <w:start w:val="1"/>
      <w:numFmt w:val="lowerLetter"/>
      <w:lvlText w:val="%3."/>
      <w:lvlJc w:val="left"/>
      <w:pPr>
        <w:tabs>
          <w:tab w:val="num" w:pos="2430"/>
        </w:tabs>
        <w:ind w:left="2430" w:hanging="360"/>
      </w:pPr>
      <w:rPr>
        <w:rFonts w:cs="Times New Roman" w:hint="default"/>
        <w:b/>
      </w:rPr>
    </w:lvl>
    <w:lvl w:ilvl="3" w:tplc="0409000F" w:tentative="1">
      <w:start w:val="1"/>
      <w:numFmt w:val="decimal"/>
      <w:lvlText w:val="%4."/>
      <w:lvlJc w:val="left"/>
      <w:pPr>
        <w:tabs>
          <w:tab w:val="num" w:pos="2970"/>
        </w:tabs>
        <w:ind w:left="2970" w:hanging="360"/>
      </w:pPr>
      <w:rPr>
        <w:rFonts w:cs="Times New Roman"/>
      </w:rPr>
    </w:lvl>
    <w:lvl w:ilvl="4" w:tplc="04090019" w:tentative="1">
      <w:start w:val="1"/>
      <w:numFmt w:val="lowerLetter"/>
      <w:lvlText w:val="%5."/>
      <w:lvlJc w:val="left"/>
      <w:pPr>
        <w:tabs>
          <w:tab w:val="num" w:pos="3690"/>
        </w:tabs>
        <w:ind w:left="3690" w:hanging="360"/>
      </w:pPr>
      <w:rPr>
        <w:rFonts w:cs="Times New Roman"/>
      </w:rPr>
    </w:lvl>
    <w:lvl w:ilvl="5" w:tplc="0409001B" w:tentative="1">
      <w:start w:val="1"/>
      <w:numFmt w:val="lowerRoman"/>
      <w:lvlText w:val="%6."/>
      <w:lvlJc w:val="right"/>
      <w:pPr>
        <w:tabs>
          <w:tab w:val="num" w:pos="4410"/>
        </w:tabs>
        <w:ind w:left="4410" w:hanging="180"/>
      </w:pPr>
      <w:rPr>
        <w:rFonts w:cs="Times New Roman"/>
      </w:rPr>
    </w:lvl>
    <w:lvl w:ilvl="6" w:tplc="0409000F" w:tentative="1">
      <w:start w:val="1"/>
      <w:numFmt w:val="decimal"/>
      <w:lvlText w:val="%7."/>
      <w:lvlJc w:val="left"/>
      <w:pPr>
        <w:tabs>
          <w:tab w:val="num" w:pos="5130"/>
        </w:tabs>
        <w:ind w:left="5130" w:hanging="360"/>
      </w:pPr>
      <w:rPr>
        <w:rFonts w:cs="Times New Roman"/>
      </w:rPr>
    </w:lvl>
    <w:lvl w:ilvl="7" w:tplc="04090019" w:tentative="1">
      <w:start w:val="1"/>
      <w:numFmt w:val="lowerLetter"/>
      <w:lvlText w:val="%8."/>
      <w:lvlJc w:val="left"/>
      <w:pPr>
        <w:tabs>
          <w:tab w:val="num" w:pos="5850"/>
        </w:tabs>
        <w:ind w:left="5850" w:hanging="360"/>
      </w:pPr>
      <w:rPr>
        <w:rFonts w:cs="Times New Roman"/>
      </w:rPr>
    </w:lvl>
    <w:lvl w:ilvl="8" w:tplc="0409001B" w:tentative="1">
      <w:start w:val="1"/>
      <w:numFmt w:val="lowerRoman"/>
      <w:lvlText w:val="%9."/>
      <w:lvlJc w:val="right"/>
      <w:pPr>
        <w:tabs>
          <w:tab w:val="num" w:pos="6570"/>
        </w:tabs>
        <w:ind w:left="6570" w:hanging="180"/>
      </w:pPr>
      <w:rPr>
        <w:rFonts w:cs="Times New Roman"/>
      </w:rPr>
    </w:lvl>
  </w:abstractNum>
  <w:abstractNum w:abstractNumId="21" w15:restartNumberingAfterBreak="0">
    <w:nsid w:val="1B2A5C08"/>
    <w:multiLevelType w:val="hybridMultilevel"/>
    <w:tmpl w:val="4416764C"/>
    <w:lvl w:ilvl="0" w:tplc="BB289DF4">
      <w:start w:val="1"/>
      <w:numFmt w:val="decimal"/>
      <w:lvlText w:val="E.%1."/>
      <w:lvlJc w:val="left"/>
      <w:pPr>
        <w:ind w:left="360" w:hanging="36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2" w15:restartNumberingAfterBreak="0">
    <w:nsid w:val="1C4D5F17"/>
    <w:multiLevelType w:val="hybridMultilevel"/>
    <w:tmpl w:val="B754AD2E"/>
    <w:lvl w:ilvl="0" w:tplc="4DD6A28A">
      <w:start w:val="1"/>
      <w:numFmt w:val="decimal"/>
      <w:lvlText w:val="B.%1."/>
      <w:lvlJc w:val="left"/>
      <w:pPr>
        <w:tabs>
          <w:tab w:val="num" w:pos="0"/>
        </w:tabs>
        <w:ind w:left="360" w:hanging="360"/>
      </w:pPr>
      <w:rPr>
        <w:rFonts w:hint="default"/>
        <w:b/>
        <w:i w:val="0"/>
        <w:strike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1CF514EA"/>
    <w:multiLevelType w:val="hybridMultilevel"/>
    <w:tmpl w:val="3774E96E"/>
    <w:lvl w:ilvl="0" w:tplc="477EFD8A">
      <w:start w:val="1"/>
      <w:numFmt w:val="lowerLetter"/>
      <w:lvlText w:val="%1."/>
      <w:lvlJc w:val="left"/>
      <w:pPr>
        <w:ind w:left="144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1E206547"/>
    <w:multiLevelType w:val="hybridMultilevel"/>
    <w:tmpl w:val="3F305F54"/>
    <w:lvl w:ilvl="0" w:tplc="959E3516">
      <w:start w:val="1"/>
      <w:numFmt w:val="lowerLetter"/>
      <w:lvlText w:val="%1."/>
      <w:lvlJc w:val="left"/>
      <w:pPr>
        <w:ind w:left="720" w:hanging="360"/>
      </w:pPr>
      <w:rPr>
        <w:rFonts w:ascii="Times New Roman" w:hAnsi="Times New Roman" w:hint="default"/>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1FD265E5"/>
    <w:multiLevelType w:val="hybridMultilevel"/>
    <w:tmpl w:val="94CC00EE"/>
    <w:lvl w:ilvl="0" w:tplc="5DBC6958">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6" w15:restartNumberingAfterBreak="0">
    <w:nsid w:val="209103EE"/>
    <w:multiLevelType w:val="hybridMultilevel"/>
    <w:tmpl w:val="42DA3A66"/>
    <w:lvl w:ilvl="0" w:tplc="E0E2D644">
      <w:start w:val="1"/>
      <w:numFmt w:val="lowerLetter"/>
      <w:lvlText w:val="%1."/>
      <w:lvlJc w:val="left"/>
      <w:pPr>
        <w:tabs>
          <w:tab w:val="num" w:pos="720"/>
        </w:tabs>
        <w:ind w:left="720" w:hanging="360"/>
      </w:pPr>
      <w:rPr>
        <w:rFonts w:hint="default"/>
        <w:b w:val="0"/>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7" w15:restartNumberingAfterBreak="0">
    <w:nsid w:val="21171455"/>
    <w:multiLevelType w:val="hybridMultilevel"/>
    <w:tmpl w:val="8F54F0CA"/>
    <w:lvl w:ilvl="0" w:tplc="EEF86612">
      <w:start w:val="1"/>
      <w:numFmt w:val="lowerLetter"/>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8" w15:restartNumberingAfterBreak="0">
    <w:nsid w:val="23256A65"/>
    <w:multiLevelType w:val="hybridMultilevel"/>
    <w:tmpl w:val="D8D84FC8"/>
    <w:lvl w:ilvl="0" w:tplc="24F67354">
      <w:start w:val="1"/>
      <w:numFmt w:val="lowerLetter"/>
      <w:lvlText w:val="%1."/>
      <w:lvlJc w:val="left"/>
      <w:pPr>
        <w:ind w:left="720" w:hanging="360"/>
      </w:pPr>
      <w:rPr>
        <w:sz w:val="20"/>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243B1ECA"/>
    <w:multiLevelType w:val="hybridMultilevel"/>
    <w:tmpl w:val="C8BC8C54"/>
    <w:lvl w:ilvl="0" w:tplc="D292A4B2">
      <w:start w:val="1"/>
      <w:numFmt w:val="decimal"/>
      <w:lvlText w:val="A.%1."/>
      <w:lvlJc w:val="left"/>
      <w:pPr>
        <w:tabs>
          <w:tab w:val="num" w:pos="360"/>
        </w:tabs>
        <w:ind w:left="360" w:hanging="360"/>
      </w:pPr>
      <w:rPr>
        <w:b/>
        <w:i w:val="0"/>
      </w:rPr>
    </w:lvl>
    <w:lvl w:ilvl="1" w:tplc="04090019">
      <w:start w:val="1"/>
      <w:numFmt w:val="lowerLetter"/>
      <w:lvlText w:val="%2."/>
      <w:lvlJc w:val="left"/>
      <w:pPr>
        <w:tabs>
          <w:tab w:val="num" w:pos="1440"/>
        </w:tabs>
        <w:ind w:left="1440" w:hanging="360"/>
      </w:pPr>
    </w:lvl>
    <w:lvl w:ilvl="2" w:tplc="04090001">
      <w:start w:val="1"/>
      <w:numFmt w:val="bullet"/>
      <w:lvlText w:val=""/>
      <w:lvlJc w:val="left"/>
      <w:pPr>
        <w:tabs>
          <w:tab w:val="num" w:pos="2160"/>
        </w:tabs>
        <w:ind w:left="2160" w:hanging="180"/>
      </w:pPr>
      <w:rPr>
        <w:rFonts w:ascii="Symbol" w:hAnsi="Symbol" w:hint="default"/>
      </w:r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30" w15:restartNumberingAfterBreak="0">
    <w:nsid w:val="24824F61"/>
    <w:multiLevelType w:val="hybridMultilevel"/>
    <w:tmpl w:val="27A68EF2"/>
    <w:lvl w:ilvl="0" w:tplc="EEF86612">
      <w:start w:val="1"/>
      <w:numFmt w:val="lowerLetter"/>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1" w15:restartNumberingAfterBreak="0">
    <w:nsid w:val="262925A7"/>
    <w:multiLevelType w:val="hybridMultilevel"/>
    <w:tmpl w:val="8826A500"/>
    <w:lvl w:ilvl="0" w:tplc="95BCCBAC">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2" w15:restartNumberingAfterBreak="0">
    <w:nsid w:val="26CE6E26"/>
    <w:multiLevelType w:val="hybridMultilevel"/>
    <w:tmpl w:val="10748472"/>
    <w:lvl w:ilvl="0" w:tplc="6C30EF8C">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3" w15:restartNumberingAfterBreak="0">
    <w:nsid w:val="270118E1"/>
    <w:multiLevelType w:val="hybridMultilevel"/>
    <w:tmpl w:val="4DDEC782"/>
    <w:lvl w:ilvl="0" w:tplc="959E3516">
      <w:start w:val="1"/>
      <w:numFmt w:val="lowerLetter"/>
      <w:lvlText w:val="%1."/>
      <w:lvlJc w:val="left"/>
      <w:pPr>
        <w:ind w:left="990" w:hanging="360"/>
      </w:pPr>
      <w:rPr>
        <w:rFonts w:ascii="Times New Roman" w:hAnsi="Times New Roman" w:hint="default"/>
        <w:sz w:val="22"/>
      </w:rPr>
    </w:lvl>
    <w:lvl w:ilvl="1" w:tplc="04090019" w:tentative="1">
      <w:start w:val="1"/>
      <w:numFmt w:val="lowerLetter"/>
      <w:lvlText w:val="%2."/>
      <w:lvlJc w:val="left"/>
      <w:pPr>
        <w:ind w:left="1710" w:hanging="360"/>
      </w:pPr>
    </w:lvl>
    <w:lvl w:ilvl="2" w:tplc="0409001B" w:tentative="1">
      <w:start w:val="1"/>
      <w:numFmt w:val="lowerRoman"/>
      <w:lvlText w:val="%3."/>
      <w:lvlJc w:val="right"/>
      <w:pPr>
        <w:ind w:left="2430" w:hanging="180"/>
      </w:pPr>
    </w:lvl>
    <w:lvl w:ilvl="3" w:tplc="0409000F" w:tentative="1">
      <w:start w:val="1"/>
      <w:numFmt w:val="decimal"/>
      <w:lvlText w:val="%4."/>
      <w:lvlJc w:val="left"/>
      <w:pPr>
        <w:ind w:left="3150" w:hanging="360"/>
      </w:pPr>
    </w:lvl>
    <w:lvl w:ilvl="4" w:tplc="04090019" w:tentative="1">
      <w:start w:val="1"/>
      <w:numFmt w:val="lowerLetter"/>
      <w:lvlText w:val="%5."/>
      <w:lvlJc w:val="left"/>
      <w:pPr>
        <w:ind w:left="3870" w:hanging="360"/>
      </w:pPr>
    </w:lvl>
    <w:lvl w:ilvl="5" w:tplc="0409001B" w:tentative="1">
      <w:start w:val="1"/>
      <w:numFmt w:val="lowerRoman"/>
      <w:lvlText w:val="%6."/>
      <w:lvlJc w:val="right"/>
      <w:pPr>
        <w:ind w:left="4590" w:hanging="180"/>
      </w:pPr>
    </w:lvl>
    <w:lvl w:ilvl="6" w:tplc="0409000F" w:tentative="1">
      <w:start w:val="1"/>
      <w:numFmt w:val="decimal"/>
      <w:lvlText w:val="%7."/>
      <w:lvlJc w:val="left"/>
      <w:pPr>
        <w:ind w:left="5310" w:hanging="360"/>
      </w:pPr>
    </w:lvl>
    <w:lvl w:ilvl="7" w:tplc="04090019" w:tentative="1">
      <w:start w:val="1"/>
      <w:numFmt w:val="lowerLetter"/>
      <w:lvlText w:val="%8."/>
      <w:lvlJc w:val="left"/>
      <w:pPr>
        <w:ind w:left="6030" w:hanging="360"/>
      </w:pPr>
    </w:lvl>
    <w:lvl w:ilvl="8" w:tplc="0409001B" w:tentative="1">
      <w:start w:val="1"/>
      <w:numFmt w:val="lowerRoman"/>
      <w:lvlText w:val="%9."/>
      <w:lvlJc w:val="right"/>
      <w:pPr>
        <w:ind w:left="6750" w:hanging="180"/>
      </w:pPr>
    </w:lvl>
  </w:abstractNum>
  <w:abstractNum w:abstractNumId="34" w15:restartNumberingAfterBreak="0">
    <w:nsid w:val="274D72F6"/>
    <w:multiLevelType w:val="hybridMultilevel"/>
    <w:tmpl w:val="415E3414"/>
    <w:lvl w:ilvl="0" w:tplc="959E3516">
      <w:start w:val="1"/>
      <w:numFmt w:val="lowerLetter"/>
      <w:lvlText w:val="%1."/>
      <w:lvlJc w:val="left"/>
      <w:pPr>
        <w:ind w:left="720" w:hanging="360"/>
      </w:pPr>
      <w:rPr>
        <w:rFonts w:ascii="Times New Roman" w:hAnsi="Times New Roman" w:hint="default"/>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282379BD"/>
    <w:multiLevelType w:val="hybridMultilevel"/>
    <w:tmpl w:val="7C400BBC"/>
    <w:lvl w:ilvl="0" w:tplc="959E3516">
      <w:start w:val="1"/>
      <w:numFmt w:val="lowerLetter"/>
      <w:lvlText w:val="%1."/>
      <w:lvlJc w:val="left"/>
      <w:pPr>
        <w:ind w:left="720" w:hanging="360"/>
      </w:pPr>
      <w:rPr>
        <w:rFonts w:ascii="Times New Roman" w:hAnsi="Times New Roman" w:hint="default"/>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2D5C5063"/>
    <w:multiLevelType w:val="hybridMultilevel"/>
    <w:tmpl w:val="DEB42298"/>
    <w:lvl w:ilvl="0" w:tplc="87C620D8">
      <w:start w:val="1"/>
      <w:numFmt w:val="lowerLetter"/>
      <w:lvlText w:val="%1."/>
      <w:lvlJc w:val="left"/>
      <w:pPr>
        <w:tabs>
          <w:tab w:val="num" w:pos="720"/>
        </w:tabs>
        <w:ind w:left="360" w:firstLine="0"/>
      </w:pPr>
      <w:rPr>
        <w:rFonts w:hint="default"/>
        <w:b w:val="0"/>
        <w:i w:val="0"/>
        <w:strike w:val="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7" w15:restartNumberingAfterBreak="0">
    <w:nsid w:val="2E070A52"/>
    <w:multiLevelType w:val="hybridMultilevel"/>
    <w:tmpl w:val="36A60490"/>
    <w:lvl w:ilvl="0" w:tplc="7EBEB064">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8" w15:restartNumberingAfterBreak="0">
    <w:nsid w:val="2E396F38"/>
    <w:multiLevelType w:val="hybridMultilevel"/>
    <w:tmpl w:val="0586444A"/>
    <w:lvl w:ilvl="0" w:tplc="A9FE153C">
      <w:start w:val="1"/>
      <w:numFmt w:val="decimal"/>
      <w:lvlText w:val="(%1)"/>
      <w:lvlJc w:val="left"/>
      <w:pPr>
        <w:ind w:left="900" w:hanging="180"/>
      </w:pPr>
      <w:rPr>
        <w:rFonts w:hint="default"/>
        <w:b w:val="0"/>
        <w:i w:val="0"/>
      </w:rPr>
    </w:lvl>
    <w:lvl w:ilvl="1" w:tplc="04090019" w:tentative="1">
      <w:start w:val="1"/>
      <w:numFmt w:val="lowerLetter"/>
      <w:lvlText w:val="%2."/>
      <w:lvlJc w:val="left"/>
      <w:pPr>
        <w:ind w:left="-540" w:hanging="360"/>
      </w:pPr>
    </w:lvl>
    <w:lvl w:ilvl="2" w:tplc="0409001B" w:tentative="1">
      <w:start w:val="1"/>
      <w:numFmt w:val="lowerRoman"/>
      <w:lvlText w:val="%3."/>
      <w:lvlJc w:val="right"/>
      <w:pPr>
        <w:ind w:left="180" w:hanging="180"/>
      </w:pPr>
    </w:lvl>
    <w:lvl w:ilvl="3" w:tplc="0409000F" w:tentative="1">
      <w:start w:val="1"/>
      <w:numFmt w:val="decimal"/>
      <w:lvlText w:val="%4."/>
      <w:lvlJc w:val="left"/>
      <w:pPr>
        <w:ind w:left="900" w:hanging="360"/>
      </w:pPr>
    </w:lvl>
    <w:lvl w:ilvl="4" w:tplc="04090019" w:tentative="1">
      <w:start w:val="1"/>
      <w:numFmt w:val="lowerLetter"/>
      <w:lvlText w:val="%5."/>
      <w:lvlJc w:val="left"/>
      <w:pPr>
        <w:ind w:left="1620" w:hanging="360"/>
      </w:pPr>
    </w:lvl>
    <w:lvl w:ilvl="5" w:tplc="0409001B" w:tentative="1">
      <w:start w:val="1"/>
      <w:numFmt w:val="lowerRoman"/>
      <w:lvlText w:val="%6."/>
      <w:lvlJc w:val="right"/>
      <w:pPr>
        <w:ind w:left="2340" w:hanging="180"/>
      </w:pPr>
    </w:lvl>
    <w:lvl w:ilvl="6" w:tplc="0409000F" w:tentative="1">
      <w:start w:val="1"/>
      <w:numFmt w:val="decimal"/>
      <w:lvlText w:val="%7."/>
      <w:lvlJc w:val="left"/>
      <w:pPr>
        <w:ind w:left="3060" w:hanging="360"/>
      </w:pPr>
    </w:lvl>
    <w:lvl w:ilvl="7" w:tplc="04090019" w:tentative="1">
      <w:start w:val="1"/>
      <w:numFmt w:val="lowerLetter"/>
      <w:lvlText w:val="%8."/>
      <w:lvlJc w:val="left"/>
      <w:pPr>
        <w:ind w:left="3780" w:hanging="360"/>
      </w:pPr>
    </w:lvl>
    <w:lvl w:ilvl="8" w:tplc="0409001B" w:tentative="1">
      <w:start w:val="1"/>
      <w:numFmt w:val="lowerRoman"/>
      <w:lvlText w:val="%9."/>
      <w:lvlJc w:val="right"/>
      <w:pPr>
        <w:ind w:left="4500" w:hanging="180"/>
      </w:pPr>
    </w:lvl>
  </w:abstractNum>
  <w:abstractNum w:abstractNumId="39" w15:restartNumberingAfterBreak="0">
    <w:nsid w:val="30782378"/>
    <w:multiLevelType w:val="hybridMultilevel"/>
    <w:tmpl w:val="CC06B6A2"/>
    <w:lvl w:ilvl="0" w:tplc="EEF86612">
      <w:start w:val="1"/>
      <w:numFmt w:val="lowerLetter"/>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40" w15:restartNumberingAfterBreak="0">
    <w:nsid w:val="30903CEC"/>
    <w:multiLevelType w:val="hybridMultilevel"/>
    <w:tmpl w:val="2968E82C"/>
    <w:lvl w:ilvl="0" w:tplc="04090019">
      <w:start w:val="1"/>
      <w:numFmt w:val="lowerLetter"/>
      <w:lvlText w:val="%1."/>
      <w:lvlJc w:val="left"/>
      <w:pPr>
        <w:tabs>
          <w:tab w:val="num" w:pos="720"/>
        </w:tabs>
        <w:ind w:left="360" w:firstLine="0"/>
      </w:pPr>
      <w:rPr>
        <w:rFonts w:hint="default"/>
        <w:b w:val="0"/>
        <w:i w:val="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1" w15:restartNumberingAfterBreak="0">
    <w:nsid w:val="335571B4"/>
    <w:multiLevelType w:val="hybridMultilevel"/>
    <w:tmpl w:val="2FC604BA"/>
    <w:lvl w:ilvl="0" w:tplc="E2A0D208">
      <w:start w:val="1"/>
      <w:numFmt w:val="decimal"/>
      <w:lvlText w:val="G.%1."/>
      <w:lvlJc w:val="left"/>
      <w:pPr>
        <w:tabs>
          <w:tab w:val="num" w:pos="720"/>
        </w:tabs>
        <w:ind w:left="360" w:hanging="360"/>
      </w:pPr>
      <w:rPr>
        <w:rFonts w:cs="Times New Roman"/>
        <w:b/>
        <w:i w:val="0"/>
        <w:strike w:val="0"/>
        <w:dstrike w:val="0"/>
        <w:u w:val="none"/>
        <w:effect w:val="none"/>
      </w:rPr>
    </w:lvl>
    <w:lvl w:ilvl="1" w:tplc="8B9421A2">
      <w:start w:val="1"/>
      <w:numFmt w:val="lowerLetter"/>
      <w:lvlText w:val="%2."/>
      <w:lvlJc w:val="left"/>
      <w:pPr>
        <w:ind w:left="810" w:hanging="360"/>
      </w:pPr>
      <w:rPr>
        <w:i w:val="0"/>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42" w15:restartNumberingAfterBreak="0">
    <w:nsid w:val="336E5055"/>
    <w:multiLevelType w:val="hybridMultilevel"/>
    <w:tmpl w:val="03203A52"/>
    <w:lvl w:ilvl="0" w:tplc="959E3516">
      <w:start w:val="1"/>
      <w:numFmt w:val="lowerLetter"/>
      <w:lvlText w:val="%1."/>
      <w:lvlJc w:val="left"/>
      <w:pPr>
        <w:ind w:left="720" w:hanging="360"/>
      </w:pPr>
      <w:rPr>
        <w:rFonts w:ascii="Times New Roman" w:hAnsi="Times New Roman" w:hint="default"/>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33916FA1"/>
    <w:multiLevelType w:val="hybridMultilevel"/>
    <w:tmpl w:val="EED63D02"/>
    <w:lvl w:ilvl="0" w:tplc="039AA33C">
      <w:start w:val="1"/>
      <w:numFmt w:val="lowerLetter"/>
      <w:lvlText w:val="%1."/>
      <w:lvlJc w:val="left"/>
      <w:pPr>
        <w:ind w:left="720" w:hanging="360"/>
      </w:pPr>
      <w:rPr>
        <w:strike w:val="0"/>
        <w:sz w:val="20"/>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15:restartNumberingAfterBreak="0">
    <w:nsid w:val="3424070D"/>
    <w:multiLevelType w:val="hybridMultilevel"/>
    <w:tmpl w:val="47CA6084"/>
    <w:lvl w:ilvl="0" w:tplc="959E3516">
      <w:start w:val="1"/>
      <w:numFmt w:val="lowerLetter"/>
      <w:lvlText w:val="%1."/>
      <w:lvlJc w:val="left"/>
      <w:pPr>
        <w:ind w:left="720" w:hanging="360"/>
      </w:pPr>
      <w:rPr>
        <w:rFonts w:ascii="Times New Roman" w:hAnsi="Times New Roman" w:hint="default"/>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357756E1"/>
    <w:multiLevelType w:val="hybridMultilevel"/>
    <w:tmpl w:val="70F6F342"/>
    <w:lvl w:ilvl="0" w:tplc="B8460744">
      <w:start w:val="1"/>
      <w:numFmt w:val="decimal"/>
      <w:lvlText w:val="D.%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15:restartNumberingAfterBreak="0">
    <w:nsid w:val="373649C1"/>
    <w:multiLevelType w:val="hybridMultilevel"/>
    <w:tmpl w:val="48B26090"/>
    <w:lvl w:ilvl="0" w:tplc="57582BCA">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7" w15:restartNumberingAfterBreak="0">
    <w:nsid w:val="37696694"/>
    <w:multiLevelType w:val="hybridMultilevel"/>
    <w:tmpl w:val="7C400BBC"/>
    <w:lvl w:ilvl="0" w:tplc="959E3516">
      <w:start w:val="1"/>
      <w:numFmt w:val="lowerLetter"/>
      <w:lvlText w:val="%1."/>
      <w:lvlJc w:val="left"/>
      <w:pPr>
        <w:ind w:left="720" w:hanging="360"/>
      </w:pPr>
      <w:rPr>
        <w:rFonts w:ascii="Times New Roman" w:hAnsi="Times New Roman" w:hint="default"/>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 w15:restartNumberingAfterBreak="0">
    <w:nsid w:val="37B37B98"/>
    <w:multiLevelType w:val="hybridMultilevel"/>
    <w:tmpl w:val="8826A500"/>
    <w:lvl w:ilvl="0" w:tplc="95BCCBAC">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49" w15:restartNumberingAfterBreak="0">
    <w:nsid w:val="38A540C0"/>
    <w:multiLevelType w:val="hybridMultilevel"/>
    <w:tmpl w:val="9AA4ED94"/>
    <w:lvl w:ilvl="0" w:tplc="49247B60">
      <w:start w:val="45"/>
      <w:numFmt w:val="decimal"/>
      <w:lvlText w:val="D.%1."/>
      <w:lvlJc w:val="left"/>
      <w:pPr>
        <w:ind w:left="36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0" w15:restartNumberingAfterBreak="0">
    <w:nsid w:val="3A9115AF"/>
    <w:multiLevelType w:val="hybridMultilevel"/>
    <w:tmpl w:val="263A07BC"/>
    <w:lvl w:ilvl="0" w:tplc="EEF86612">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1" w15:restartNumberingAfterBreak="0">
    <w:nsid w:val="3A9A6BE7"/>
    <w:multiLevelType w:val="hybridMultilevel"/>
    <w:tmpl w:val="57AE32FC"/>
    <w:lvl w:ilvl="0" w:tplc="3352490C">
      <w:start w:val="1"/>
      <w:numFmt w:val="lowerLetter"/>
      <w:lvlText w:val="%1."/>
      <w:lvlJc w:val="left"/>
      <w:pPr>
        <w:ind w:left="720" w:hanging="360"/>
      </w:pPr>
      <w:rPr>
        <w:rFonts w:ascii="Times New Roman" w:hAnsi="Times New Roman" w:hint="default"/>
        <w:i w:val="0"/>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2" w15:restartNumberingAfterBreak="0">
    <w:nsid w:val="3C611560"/>
    <w:multiLevelType w:val="hybridMultilevel"/>
    <w:tmpl w:val="4EC2BBF4"/>
    <w:lvl w:ilvl="0" w:tplc="5D5C196A">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53" w15:restartNumberingAfterBreak="0">
    <w:nsid w:val="3CD7370E"/>
    <w:multiLevelType w:val="hybridMultilevel"/>
    <w:tmpl w:val="72ACB388"/>
    <w:lvl w:ilvl="0" w:tplc="BC20B1AC">
      <w:start w:val="24"/>
      <w:numFmt w:val="decimal"/>
      <w:lvlText w:val="B.%1."/>
      <w:lvlJc w:val="left"/>
      <w:pPr>
        <w:tabs>
          <w:tab w:val="num" w:pos="0"/>
        </w:tabs>
        <w:ind w:left="0" w:firstLine="0"/>
      </w:pPr>
      <w:rPr>
        <w:rFonts w:hint="default"/>
        <w:b/>
        <w:i w:val="0"/>
      </w:rPr>
    </w:lvl>
    <w:lvl w:ilvl="1" w:tplc="A9FC9DCC">
      <w:start w:val="1"/>
      <w:numFmt w:val="lowerLetter"/>
      <w:lvlText w:val="(%2)"/>
      <w:lvlJc w:val="left"/>
      <w:pPr>
        <w:tabs>
          <w:tab w:val="num" w:pos="1440"/>
        </w:tabs>
        <w:ind w:left="1440" w:hanging="360"/>
      </w:pPr>
      <w:rPr>
        <w:rFonts w:hint="default"/>
        <w:b w:val="0"/>
        <w:i w:val="0"/>
      </w:rPr>
    </w:lvl>
    <w:lvl w:ilvl="2" w:tplc="A9FE153C">
      <w:start w:val="1"/>
      <w:numFmt w:val="decimal"/>
      <w:lvlText w:val="(%3)"/>
      <w:lvlJc w:val="left"/>
      <w:pPr>
        <w:tabs>
          <w:tab w:val="num" w:pos="2340"/>
        </w:tabs>
        <w:ind w:left="1620" w:firstLine="360"/>
      </w:pPr>
      <w:rPr>
        <w:rFonts w:hint="default"/>
        <w:b w:val="0"/>
        <w:i w:val="0"/>
      </w:r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4" w15:restartNumberingAfterBreak="0">
    <w:nsid w:val="3D5B0980"/>
    <w:multiLevelType w:val="hybridMultilevel"/>
    <w:tmpl w:val="B7BA020A"/>
    <w:lvl w:ilvl="0" w:tplc="A1BC57D6">
      <w:start w:val="1"/>
      <w:numFmt w:val="decimal"/>
      <w:lvlText w:val="C.%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5" w15:restartNumberingAfterBreak="0">
    <w:nsid w:val="3D856549"/>
    <w:multiLevelType w:val="hybridMultilevel"/>
    <w:tmpl w:val="F4CE42DE"/>
    <w:lvl w:ilvl="0" w:tplc="959E3516">
      <w:start w:val="1"/>
      <w:numFmt w:val="lowerLetter"/>
      <w:lvlText w:val="%1."/>
      <w:lvlJc w:val="left"/>
      <w:pPr>
        <w:ind w:left="720" w:hanging="360"/>
      </w:pPr>
      <w:rPr>
        <w:rFonts w:ascii="Times New Roman" w:hAnsi="Times New Roman" w:hint="default"/>
        <w:sz w:val="22"/>
      </w:rPr>
    </w:lvl>
    <w:lvl w:ilvl="1" w:tplc="04090019" w:tentative="1">
      <w:start w:val="1"/>
      <w:numFmt w:val="lowerLetter"/>
      <w:lvlText w:val="%2."/>
      <w:lvlJc w:val="left"/>
      <w:pPr>
        <w:ind w:left="720" w:hanging="360"/>
      </w:pPr>
    </w:lvl>
    <w:lvl w:ilvl="2" w:tplc="0409001B" w:tentative="1">
      <w:start w:val="1"/>
      <w:numFmt w:val="lowerRoman"/>
      <w:lvlText w:val="%3."/>
      <w:lvlJc w:val="right"/>
      <w:pPr>
        <w:ind w:left="1440" w:hanging="180"/>
      </w:pPr>
    </w:lvl>
    <w:lvl w:ilvl="3" w:tplc="0409000F" w:tentative="1">
      <w:start w:val="1"/>
      <w:numFmt w:val="decimal"/>
      <w:lvlText w:val="%4."/>
      <w:lvlJc w:val="left"/>
      <w:pPr>
        <w:ind w:left="2160" w:hanging="360"/>
      </w:pPr>
    </w:lvl>
    <w:lvl w:ilvl="4" w:tplc="04090019" w:tentative="1">
      <w:start w:val="1"/>
      <w:numFmt w:val="lowerLetter"/>
      <w:lvlText w:val="%5."/>
      <w:lvlJc w:val="left"/>
      <w:pPr>
        <w:ind w:left="2880" w:hanging="360"/>
      </w:pPr>
    </w:lvl>
    <w:lvl w:ilvl="5" w:tplc="0409001B" w:tentative="1">
      <w:start w:val="1"/>
      <w:numFmt w:val="lowerRoman"/>
      <w:lvlText w:val="%6."/>
      <w:lvlJc w:val="right"/>
      <w:pPr>
        <w:ind w:left="3600" w:hanging="180"/>
      </w:pPr>
    </w:lvl>
    <w:lvl w:ilvl="6" w:tplc="0409000F" w:tentative="1">
      <w:start w:val="1"/>
      <w:numFmt w:val="decimal"/>
      <w:lvlText w:val="%7."/>
      <w:lvlJc w:val="left"/>
      <w:pPr>
        <w:ind w:left="4320" w:hanging="360"/>
      </w:pPr>
    </w:lvl>
    <w:lvl w:ilvl="7" w:tplc="04090019" w:tentative="1">
      <w:start w:val="1"/>
      <w:numFmt w:val="lowerLetter"/>
      <w:lvlText w:val="%8."/>
      <w:lvlJc w:val="left"/>
      <w:pPr>
        <w:ind w:left="5040" w:hanging="360"/>
      </w:pPr>
    </w:lvl>
    <w:lvl w:ilvl="8" w:tplc="0409001B" w:tentative="1">
      <w:start w:val="1"/>
      <w:numFmt w:val="lowerRoman"/>
      <w:lvlText w:val="%9."/>
      <w:lvlJc w:val="right"/>
      <w:pPr>
        <w:ind w:left="5760" w:hanging="180"/>
      </w:pPr>
    </w:lvl>
  </w:abstractNum>
  <w:abstractNum w:abstractNumId="56" w15:restartNumberingAfterBreak="0">
    <w:nsid w:val="3D8D05F8"/>
    <w:multiLevelType w:val="hybridMultilevel"/>
    <w:tmpl w:val="665AF87A"/>
    <w:lvl w:ilvl="0" w:tplc="18C8F9B6">
      <w:start w:val="1"/>
      <w:numFmt w:val="lowerLetter"/>
      <w:lvlText w:val="%1."/>
      <w:lvlJc w:val="left"/>
      <w:pPr>
        <w:tabs>
          <w:tab w:val="num" w:pos="720"/>
        </w:tabs>
        <w:ind w:left="360" w:firstLine="0"/>
      </w:pPr>
      <w:rPr>
        <w:rFonts w:hint="default"/>
        <w:b w:val="0"/>
        <w:i w:val="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7" w15:restartNumberingAfterBreak="0">
    <w:nsid w:val="3D9B2D54"/>
    <w:multiLevelType w:val="hybridMultilevel"/>
    <w:tmpl w:val="5986F690"/>
    <w:lvl w:ilvl="0" w:tplc="B24A62CA">
      <w:start w:val="1"/>
      <w:numFmt w:val="lowerLetter"/>
      <w:lvlText w:val="%1."/>
      <w:lvlJc w:val="left"/>
      <w:pPr>
        <w:ind w:left="720" w:hanging="360"/>
      </w:pPr>
      <w:rPr>
        <w:rFonts w:ascii="Times New Roman" w:hAnsi="Times New Roman" w:hint="default"/>
        <w:strike w:val="0"/>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8" w15:restartNumberingAfterBreak="0">
    <w:nsid w:val="3EDA04F2"/>
    <w:multiLevelType w:val="hybridMultilevel"/>
    <w:tmpl w:val="B3626874"/>
    <w:lvl w:ilvl="0" w:tplc="62561030">
      <w:start w:val="19"/>
      <w:numFmt w:val="lowerLetter"/>
      <w:lvlText w:val="%1"/>
      <w:lvlJc w:val="left"/>
      <w:pPr>
        <w:ind w:left="1080" w:hanging="360"/>
      </w:pPr>
      <w:rPr>
        <w:rFonts w:cs="Times New Roman" w:hint="default"/>
        <w:b/>
        <w:i w:val="0"/>
        <w:dstrike w:val="0"/>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59" w15:restartNumberingAfterBreak="0">
    <w:nsid w:val="3F251D1C"/>
    <w:multiLevelType w:val="hybridMultilevel"/>
    <w:tmpl w:val="505C4230"/>
    <w:lvl w:ilvl="0" w:tplc="959E3516">
      <w:start w:val="1"/>
      <w:numFmt w:val="lowerLetter"/>
      <w:lvlText w:val="%1."/>
      <w:lvlJc w:val="left"/>
      <w:pPr>
        <w:ind w:left="720" w:hanging="360"/>
      </w:pPr>
      <w:rPr>
        <w:rFonts w:ascii="Times New Roman" w:hAnsi="Times New Roman" w:hint="default"/>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0" w15:restartNumberingAfterBreak="0">
    <w:nsid w:val="400E2B4F"/>
    <w:multiLevelType w:val="hybridMultilevel"/>
    <w:tmpl w:val="C0F2C032"/>
    <w:lvl w:ilvl="0" w:tplc="4CF24A82">
      <w:start w:val="1"/>
      <w:numFmt w:val="decimal"/>
      <w:lvlText w:val="I.%1. "/>
      <w:lvlJc w:val="left"/>
      <w:pPr>
        <w:tabs>
          <w:tab w:val="num" w:pos="720"/>
        </w:tabs>
        <w:ind w:left="720" w:hanging="720"/>
      </w:pPr>
      <w:rPr>
        <w:rFonts w:ascii="Times New Roman" w:hAnsi="Times New Roman" w:cs="Times New Roman" w:hint="default"/>
        <w:b/>
        <w:i w:val="0"/>
        <w:dstrike w:val="0"/>
        <w:sz w:val="22"/>
        <w:szCs w:val="22"/>
      </w:rPr>
    </w:lvl>
    <w:lvl w:ilvl="1" w:tplc="FBBCF3B2">
      <w:start w:val="1"/>
      <w:numFmt w:val="lowerLetter"/>
      <w:lvlText w:val="%2."/>
      <w:lvlJc w:val="left"/>
      <w:pPr>
        <w:ind w:left="1440" w:hanging="360"/>
      </w:pPr>
      <w:rPr>
        <w:b w:val="0"/>
        <w:i w:val="0"/>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1" w15:restartNumberingAfterBreak="0">
    <w:nsid w:val="40360B68"/>
    <w:multiLevelType w:val="hybridMultilevel"/>
    <w:tmpl w:val="47B2D2D8"/>
    <w:lvl w:ilvl="0" w:tplc="EEF86612">
      <w:start w:val="1"/>
      <w:numFmt w:val="lowerLetter"/>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62" w15:restartNumberingAfterBreak="0">
    <w:nsid w:val="40F94A8E"/>
    <w:multiLevelType w:val="hybridMultilevel"/>
    <w:tmpl w:val="6F9412DC"/>
    <w:lvl w:ilvl="0" w:tplc="3B7C596C">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63" w15:restartNumberingAfterBreak="0">
    <w:nsid w:val="41552BF0"/>
    <w:multiLevelType w:val="hybridMultilevel"/>
    <w:tmpl w:val="3F425B08"/>
    <w:lvl w:ilvl="0" w:tplc="09A09582">
      <w:start w:val="1"/>
      <w:numFmt w:val="lowerLetter"/>
      <w:lvlText w:val="%1."/>
      <w:lvlJc w:val="left"/>
      <w:pPr>
        <w:ind w:left="720" w:hanging="360"/>
      </w:pPr>
      <w:rPr>
        <w:rFonts w:hint="default"/>
        <w:b w:val="0"/>
        <w:i w:val="0"/>
        <w:caps w:val="0"/>
      </w:rPr>
    </w:lvl>
    <w:lvl w:ilvl="1" w:tplc="04090019">
      <w:start w:val="1"/>
      <w:numFmt w:val="lowerLetter"/>
      <w:lvlText w:val="%2."/>
      <w:lvlJc w:val="left"/>
      <w:pPr>
        <w:ind w:left="117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4" w15:restartNumberingAfterBreak="0">
    <w:nsid w:val="421E2BCD"/>
    <w:multiLevelType w:val="hybridMultilevel"/>
    <w:tmpl w:val="F468EA6C"/>
    <w:lvl w:ilvl="0" w:tplc="6CEAD620">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5" w15:restartNumberingAfterBreak="0">
    <w:nsid w:val="42952339"/>
    <w:multiLevelType w:val="hybridMultilevel"/>
    <w:tmpl w:val="BFE69020"/>
    <w:lvl w:ilvl="0" w:tplc="8168DEA0">
      <w:start w:val="19"/>
      <w:numFmt w:val="lowerLetter"/>
      <w:lvlText w:val="%1"/>
      <w:lvlJc w:val="left"/>
      <w:pPr>
        <w:tabs>
          <w:tab w:val="num" w:pos="2556"/>
        </w:tabs>
        <w:ind w:left="720" w:firstLine="0"/>
      </w:pPr>
      <w:rPr>
        <w:rFonts w:cs="Times New Roman" w:hint="default"/>
        <w:b w:val="0"/>
        <w:i w:val="0"/>
        <w:dstrike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6" w15:restartNumberingAfterBreak="0">
    <w:nsid w:val="42AF6A7E"/>
    <w:multiLevelType w:val="hybridMultilevel"/>
    <w:tmpl w:val="127A25C2"/>
    <w:lvl w:ilvl="0" w:tplc="04090019">
      <w:start w:val="1"/>
      <w:numFmt w:val="lowerLetter"/>
      <w:lvlText w:val="%1."/>
      <w:lvlJc w:val="left"/>
      <w:pPr>
        <w:ind w:left="1083" w:hanging="360"/>
      </w:pPr>
    </w:lvl>
    <w:lvl w:ilvl="1" w:tplc="D4F41832">
      <w:start w:val="1"/>
      <w:numFmt w:val="lowerLetter"/>
      <w:lvlText w:val="%2."/>
      <w:lvlJc w:val="left"/>
      <w:pPr>
        <w:ind w:left="1803" w:hanging="360"/>
      </w:pPr>
      <w:rPr>
        <w:strike/>
      </w:rPr>
    </w:lvl>
    <w:lvl w:ilvl="2" w:tplc="0409001B">
      <w:start w:val="1"/>
      <w:numFmt w:val="lowerRoman"/>
      <w:lvlText w:val="%3."/>
      <w:lvlJc w:val="right"/>
      <w:pPr>
        <w:ind w:left="2523" w:hanging="180"/>
      </w:pPr>
    </w:lvl>
    <w:lvl w:ilvl="3" w:tplc="0409000F" w:tentative="1">
      <w:start w:val="1"/>
      <w:numFmt w:val="decimal"/>
      <w:lvlText w:val="%4."/>
      <w:lvlJc w:val="left"/>
      <w:pPr>
        <w:ind w:left="3243" w:hanging="360"/>
      </w:pPr>
    </w:lvl>
    <w:lvl w:ilvl="4" w:tplc="04090019" w:tentative="1">
      <w:start w:val="1"/>
      <w:numFmt w:val="lowerLetter"/>
      <w:lvlText w:val="%5."/>
      <w:lvlJc w:val="left"/>
      <w:pPr>
        <w:ind w:left="3963" w:hanging="360"/>
      </w:pPr>
    </w:lvl>
    <w:lvl w:ilvl="5" w:tplc="0409001B" w:tentative="1">
      <w:start w:val="1"/>
      <w:numFmt w:val="lowerRoman"/>
      <w:lvlText w:val="%6."/>
      <w:lvlJc w:val="right"/>
      <w:pPr>
        <w:ind w:left="4683" w:hanging="180"/>
      </w:pPr>
    </w:lvl>
    <w:lvl w:ilvl="6" w:tplc="0409000F" w:tentative="1">
      <w:start w:val="1"/>
      <w:numFmt w:val="decimal"/>
      <w:lvlText w:val="%7."/>
      <w:lvlJc w:val="left"/>
      <w:pPr>
        <w:ind w:left="5403" w:hanging="360"/>
      </w:pPr>
    </w:lvl>
    <w:lvl w:ilvl="7" w:tplc="04090019" w:tentative="1">
      <w:start w:val="1"/>
      <w:numFmt w:val="lowerLetter"/>
      <w:lvlText w:val="%8."/>
      <w:lvlJc w:val="left"/>
      <w:pPr>
        <w:ind w:left="6123" w:hanging="360"/>
      </w:pPr>
    </w:lvl>
    <w:lvl w:ilvl="8" w:tplc="0409001B" w:tentative="1">
      <w:start w:val="1"/>
      <w:numFmt w:val="lowerRoman"/>
      <w:lvlText w:val="%9."/>
      <w:lvlJc w:val="right"/>
      <w:pPr>
        <w:ind w:left="6843" w:hanging="180"/>
      </w:pPr>
    </w:lvl>
  </w:abstractNum>
  <w:abstractNum w:abstractNumId="67" w15:restartNumberingAfterBreak="0">
    <w:nsid w:val="43527355"/>
    <w:multiLevelType w:val="hybridMultilevel"/>
    <w:tmpl w:val="A0DEE914"/>
    <w:lvl w:ilvl="0" w:tplc="6BDA02BC">
      <w:start w:val="1"/>
      <w:numFmt w:val="decimal"/>
      <w:lvlText w:val="(%1)"/>
      <w:lvlJc w:val="left"/>
      <w:pPr>
        <w:ind w:left="1170" w:hanging="360"/>
      </w:pPr>
      <w:rPr>
        <w:rFonts w:hint="default"/>
      </w:rPr>
    </w:lvl>
    <w:lvl w:ilvl="1" w:tplc="04090019" w:tentative="1">
      <w:start w:val="1"/>
      <w:numFmt w:val="lowerLetter"/>
      <w:lvlText w:val="%2."/>
      <w:lvlJc w:val="left"/>
      <w:pPr>
        <w:ind w:left="1890" w:hanging="360"/>
      </w:pPr>
    </w:lvl>
    <w:lvl w:ilvl="2" w:tplc="0409001B" w:tentative="1">
      <w:start w:val="1"/>
      <w:numFmt w:val="lowerRoman"/>
      <w:lvlText w:val="%3."/>
      <w:lvlJc w:val="right"/>
      <w:pPr>
        <w:ind w:left="2610" w:hanging="180"/>
      </w:pPr>
    </w:lvl>
    <w:lvl w:ilvl="3" w:tplc="0409000F" w:tentative="1">
      <w:start w:val="1"/>
      <w:numFmt w:val="decimal"/>
      <w:lvlText w:val="%4."/>
      <w:lvlJc w:val="left"/>
      <w:pPr>
        <w:ind w:left="3330" w:hanging="360"/>
      </w:pPr>
    </w:lvl>
    <w:lvl w:ilvl="4" w:tplc="04090019" w:tentative="1">
      <w:start w:val="1"/>
      <w:numFmt w:val="lowerLetter"/>
      <w:lvlText w:val="%5."/>
      <w:lvlJc w:val="left"/>
      <w:pPr>
        <w:ind w:left="4050" w:hanging="360"/>
      </w:pPr>
    </w:lvl>
    <w:lvl w:ilvl="5" w:tplc="0409001B" w:tentative="1">
      <w:start w:val="1"/>
      <w:numFmt w:val="lowerRoman"/>
      <w:lvlText w:val="%6."/>
      <w:lvlJc w:val="right"/>
      <w:pPr>
        <w:ind w:left="4770" w:hanging="180"/>
      </w:pPr>
    </w:lvl>
    <w:lvl w:ilvl="6" w:tplc="0409000F" w:tentative="1">
      <w:start w:val="1"/>
      <w:numFmt w:val="decimal"/>
      <w:lvlText w:val="%7."/>
      <w:lvlJc w:val="left"/>
      <w:pPr>
        <w:ind w:left="5490" w:hanging="360"/>
      </w:pPr>
    </w:lvl>
    <w:lvl w:ilvl="7" w:tplc="04090019" w:tentative="1">
      <w:start w:val="1"/>
      <w:numFmt w:val="lowerLetter"/>
      <w:lvlText w:val="%8."/>
      <w:lvlJc w:val="left"/>
      <w:pPr>
        <w:ind w:left="6210" w:hanging="360"/>
      </w:pPr>
    </w:lvl>
    <w:lvl w:ilvl="8" w:tplc="0409001B" w:tentative="1">
      <w:start w:val="1"/>
      <w:numFmt w:val="lowerRoman"/>
      <w:lvlText w:val="%9."/>
      <w:lvlJc w:val="right"/>
      <w:pPr>
        <w:ind w:left="6930" w:hanging="180"/>
      </w:pPr>
    </w:lvl>
  </w:abstractNum>
  <w:abstractNum w:abstractNumId="68" w15:restartNumberingAfterBreak="0">
    <w:nsid w:val="439A35C4"/>
    <w:multiLevelType w:val="hybridMultilevel"/>
    <w:tmpl w:val="7C400BBC"/>
    <w:lvl w:ilvl="0" w:tplc="959E3516">
      <w:start w:val="1"/>
      <w:numFmt w:val="lowerLetter"/>
      <w:lvlText w:val="%1."/>
      <w:lvlJc w:val="left"/>
      <w:pPr>
        <w:ind w:left="720" w:hanging="360"/>
      </w:pPr>
      <w:rPr>
        <w:rFonts w:ascii="Times New Roman" w:hAnsi="Times New Roman" w:hint="default"/>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9" w15:restartNumberingAfterBreak="0">
    <w:nsid w:val="43C64138"/>
    <w:multiLevelType w:val="hybridMultilevel"/>
    <w:tmpl w:val="4E56AEEA"/>
    <w:lvl w:ilvl="0" w:tplc="EE7478D0">
      <w:start w:val="1"/>
      <w:numFmt w:val="decimal"/>
      <w:lvlText w:val="(%1)"/>
      <w:lvlJc w:val="left"/>
      <w:pPr>
        <w:ind w:left="2160" w:hanging="360"/>
      </w:pPr>
      <w:rPr>
        <w:strike/>
      </w:rPr>
    </w:lvl>
    <w:lvl w:ilvl="1" w:tplc="04090019">
      <w:start w:val="1"/>
      <w:numFmt w:val="lowerLetter"/>
      <w:lvlText w:val="%2."/>
      <w:lvlJc w:val="left"/>
      <w:pPr>
        <w:ind w:left="2880" w:hanging="360"/>
      </w:pPr>
    </w:lvl>
    <w:lvl w:ilvl="2" w:tplc="0409001B">
      <w:start w:val="1"/>
      <w:numFmt w:val="lowerRoman"/>
      <w:lvlText w:val="%3."/>
      <w:lvlJc w:val="right"/>
      <w:pPr>
        <w:ind w:left="3600" w:hanging="180"/>
      </w:pPr>
    </w:lvl>
    <w:lvl w:ilvl="3" w:tplc="0409000F">
      <w:start w:val="1"/>
      <w:numFmt w:val="decimal"/>
      <w:lvlText w:val="%4."/>
      <w:lvlJc w:val="left"/>
      <w:pPr>
        <w:ind w:left="4320" w:hanging="360"/>
      </w:pPr>
    </w:lvl>
    <w:lvl w:ilvl="4" w:tplc="04090019">
      <w:start w:val="1"/>
      <w:numFmt w:val="lowerLetter"/>
      <w:lvlText w:val="%5."/>
      <w:lvlJc w:val="left"/>
      <w:pPr>
        <w:ind w:left="5040" w:hanging="360"/>
      </w:pPr>
    </w:lvl>
    <w:lvl w:ilvl="5" w:tplc="0409001B">
      <w:start w:val="1"/>
      <w:numFmt w:val="lowerRoman"/>
      <w:lvlText w:val="%6."/>
      <w:lvlJc w:val="right"/>
      <w:pPr>
        <w:ind w:left="5760" w:hanging="180"/>
      </w:pPr>
    </w:lvl>
    <w:lvl w:ilvl="6" w:tplc="0409000F">
      <w:start w:val="1"/>
      <w:numFmt w:val="decimal"/>
      <w:lvlText w:val="%7."/>
      <w:lvlJc w:val="left"/>
      <w:pPr>
        <w:ind w:left="6480" w:hanging="360"/>
      </w:pPr>
    </w:lvl>
    <w:lvl w:ilvl="7" w:tplc="04090019">
      <w:start w:val="1"/>
      <w:numFmt w:val="lowerLetter"/>
      <w:lvlText w:val="%8."/>
      <w:lvlJc w:val="left"/>
      <w:pPr>
        <w:ind w:left="7200" w:hanging="360"/>
      </w:pPr>
    </w:lvl>
    <w:lvl w:ilvl="8" w:tplc="0409001B">
      <w:start w:val="1"/>
      <w:numFmt w:val="lowerRoman"/>
      <w:lvlText w:val="%9."/>
      <w:lvlJc w:val="right"/>
      <w:pPr>
        <w:ind w:left="7920" w:hanging="180"/>
      </w:pPr>
    </w:lvl>
  </w:abstractNum>
  <w:abstractNum w:abstractNumId="70" w15:restartNumberingAfterBreak="0">
    <w:nsid w:val="456457AB"/>
    <w:multiLevelType w:val="hybridMultilevel"/>
    <w:tmpl w:val="8B26B580"/>
    <w:lvl w:ilvl="0" w:tplc="0409000F">
      <w:start w:val="1"/>
      <w:numFmt w:val="decimal"/>
      <w:lvlText w:val="%1."/>
      <w:lvlJc w:val="left"/>
      <w:pPr>
        <w:tabs>
          <w:tab w:val="num" w:pos="360"/>
        </w:tabs>
        <w:ind w:left="360" w:hanging="360"/>
      </w:pPr>
      <w:rPr>
        <w:rFonts w:hint="default"/>
        <w:b/>
        <w:i w:val="0"/>
        <w:dstrike w:val="0"/>
      </w:rPr>
    </w:lvl>
    <w:lvl w:ilvl="1" w:tplc="04090019" w:tentative="1">
      <w:start w:val="1"/>
      <w:numFmt w:val="lowerLetter"/>
      <w:lvlText w:val="%2."/>
      <w:lvlJc w:val="left"/>
      <w:pPr>
        <w:tabs>
          <w:tab w:val="num" w:pos="1080"/>
        </w:tabs>
        <w:ind w:left="1080" w:hanging="360"/>
      </w:pPr>
      <w:rPr>
        <w:rFonts w:cs="Times New Roman"/>
      </w:rPr>
    </w:lvl>
    <w:lvl w:ilvl="2" w:tplc="0409001B" w:tentative="1">
      <w:start w:val="1"/>
      <w:numFmt w:val="lowerRoman"/>
      <w:lvlText w:val="%3."/>
      <w:lvlJc w:val="right"/>
      <w:pPr>
        <w:tabs>
          <w:tab w:val="num" w:pos="1800"/>
        </w:tabs>
        <w:ind w:left="1800" w:hanging="180"/>
      </w:pPr>
      <w:rPr>
        <w:rFonts w:cs="Times New Roman"/>
      </w:rPr>
    </w:lvl>
    <w:lvl w:ilvl="3" w:tplc="0409000F" w:tentative="1">
      <w:start w:val="1"/>
      <w:numFmt w:val="decimal"/>
      <w:lvlText w:val="%4."/>
      <w:lvlJc w:val="left"/>
      <w:pPr>
        <w:tabs>
          <w:tab w:val="num" w:pos="2520"/>
        </w:tabs>
        <w:ind w:left="2520" w:hanging="360"/>
      </w:pPr>
      <w:rPr>
        <w:rFonts w:cs="Times New Roman"/>
      </w:rPr>
    </w:lvl>
    <w:lvl w:ilvl="4" w:tplc="04090019" w:tentative="1">
      <w:start w:val="1"/>
      <w:numFmt w:val="lowerLetter"/>
      <w:lvlText w:val="%5."/>
      <w:lvlJc w:val="left"/>
      <w:pPr>
        <w:tabs>
          <w:tab w:val="num" w:pos="3240"/>
        </w:tabs>
        <w:ind w:left="3240" w:hanging="360"/>
      </w:pPr>
      <w:rPr>
        <w:rFonts w:cs="Times New Roman"/>
      </w:rPr>
    </w:lvl>
    <w:lvl w:ilvl="5" w:tplc="0409001B" w:tentative="1">
      <w:start w:val="1"/>
      <w:numFmt w:val="lowerRoman"/>
      <w:lvlText w:val="%6."/>
      <w:lvlJc w:val="right"/>
      <w:pPr>
        <w:tabs>
          <w:tab w:val="num" w:pos="3960"/>
        </w:tabs>
        <w:ind w:left="3960" w:hanging="180"/>
      </w:pPr>
      <w:rPr>
        <w:rFonts w:cs="Times New Roman"/>
      </w:rPr>
    </w:lvl>
    <w:lvl w:ilvl="6" w:tplc="0409000F" w:tentative="1">
      <w:start w:val="1"/>
      <w:numFmt w:val="decimal"/>
      <w:lvlText w:val="%7."/>
      <w:lvlJc w:val="left"/>
      <w:pPr>
        <w:tabs>
          <w:tab w:val="num" w:pos="4680"/>
        </w:tabs>
        <w:ind w:left="4680" w:hanging="360"/>
      </w:pPr>
      <w:rPr>
        <w:rFonts w:cs="Times New Roman"/>
      </w:rPr>
    </w:lvl>
    <w:lvl w:ilvl="7" w:tplc="04090019" w:tentative="1">
      <w:start w:val="1"/>
      <w:numFmt w:val="lowerLetter"/>
      <w:lvlText w:val="%8."/>
      <w:lvlJc w:val="left"/>
      <w:pPr>
        <w:tabs>
          <w:tab w:val="num" w:pos="5400"/>
        </w:tabs>
        <w:ind w:left="5400" w:hanging="360"/>
      </w:pPr>
      <w:rPr>
        <w:rFonts w:cs="Times New Roman"/>
      </w:rPr>
    </w:lvl>
    <w:lvl w:ilvl="8" w:tplc="0409001B" w:tentative="1">
      <w:start w:val="1"/>
      <w:numFmt w:val="lowerRoman"/>
      <w:lvlText w:val="%9."/>
      <w:lvlJc w:val="right"/>
      <w:pPr>
        <w:tabs>
          <w:tab w:val="num" w:pos="6120"/>
        </w:tabs>
        <w:ind w:left="6120" w:hanging="180"/>
      </w:pPr>
      <w:rPr>
        <w:rFonts w:cs="Times New Roman"/>
      </w:rPr>
    </w:lvl>
  </w:abstractNum>
  <w:abstractNum w:abstractNumId="71" w15:restartNumberingAfterBreak="0">
    <w:nsid w:val="46CC4C3C"/>
    <w:multiLevelType w:val="hybridMultilevel"/>
    <w:tmpl w:val="E1C02A9E"/>
    <w:lvl w:ilvl="0" w:tplc="BDB4361E">
      <w:start w:val="1"/>
      <w:numFmt w:val="decimal"/>
      <w:lvlText w:val="(%1)"/>
      <w:lvlJc w:val="left"/>
      <w:pPr>
        <w:ind w:left="108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2" w15:restartNumberingAfterBreak="0">
    <w:nsid w:val="48DB4F5B"/>
    <w:multiLevelType w:val="hybridMultilevel"/>
    <w:tmpl w:val="4CF4AAAE"/>
    <w:lvl w:ilvl="0" w:tplc="CCCE971C">
      <w:start w:val="5"/>
      <w:numFmt w:val="decimal"/>
      <w:lvlText w:val="B.%1."/>
      <w:lvlJc w:val="left"/>
      <w:pPr>
        <w:tabs>
          <w:tab w:val="num" w:pos="1080"/>
        </w:tabs>
        <w:ind w:left="1080" w:hanging="360"/>
      </w:pPr>
      <w:rPr>
        <w:rFonts w:hint="default"/>
        <w:b/>
        <w:i w:val="0"/>
        <w:dstrike w:val="0"/>
        <w:sz w:val="22"/>
        <w:szCs w:val="22"/>
      </w:rPr>
    </w:lvl>
    <w:lvl w:ilvl="1" w:tplc="BEF412F2">
      <w:start w:val="1"/>
      <w:numFmt w:val="lowerLetter"/>
      <w:lvlText w:val="%2."/>
      <w:lvlJc w:val="left"/>
      <w:pPr>
        <w:ind w:left="1440" w:hanging="360"/>
      </w:pPr>
      <w:rPr>
        <w:rFonts w:hint="default"/>
        <w:b w:val="0"/>
        <w:i w:val="0"/>
        <w:caps w:val="0"/>
      </w:rPr>
    </w:lvl>
    <w:lvl w:ilvl="2" w:tplc="917A73D0">
      <w:start w:val="1"/>
      <w:numFmt w:val="lowerLetter"/>
      <w:lvlText w:val="%3."/>
      <w:lvlJc w:val="left"/>
      <w:pPr>
        <w:ind w:left="2160" w:hanging="180"/>
      </w:pPr>
      <w:rPr>
        <w:rFonts w:hint="default"/>
        <w:b w:val="0"/>
        <w:i w:val="0"/>
        <w:caps w:val="0"/>
      </w:rPr>
    </w:lvl>
    <w:lvl w:ilvl="3" w:tplc="4B521B90">
      <w:start w:val="1"/>
      <w:numFmt w:val="lowerLetter"/>
      <w:lvlText w:val="(%4)"/>
      <w:lvlJc w:val="left"/>
      <w:pPr>
        <w:ind w:left="2880" w:hanging="360"/>
      </w:pPr>
      <w:rPr>
        <w:rFonts w:hint="default"/>
      </w:r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3" w15:restartNumberingAfterBreak="0">
    <w:nsid w:val="49F745E1"/>
    <w:multiLevelType w:val="hybridMultilevel"/>
    <w:tmpl w:val="015EED9A"/>
    <w:lvl w:ilvl="0" w:tplc="04090019">
      <w:start w:val="1"/>
      <w:numFmt w:val="lowerLetter"/>
      <w:lvlText w:val="%1."/>
      <w:lvlJc w:val="left"/>
      <w:pPr>
        <w:tabs>
          <w:tab w:val="num" w:pos="720"/>
        </w:tabs>
        <w:ind w:left="360" w:firstLine="0"/>
      </w:pPr>
      <w:rPr>
        <w:rFonts w:hint="default"/>
        <w:b w:val="0"/>
        <w:i w:val="0"/>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4" w15:restartNumberingAfterBreak="0">
    <w:nsid w:val="4A560570"/>
    <w:multiLevelType w:val="hybridMultilevel"/>
    <w:tmpl w:val="9B580B7E"/>
    <w:lvl w:ilvl="0" w:tplc="EEF86612">
      <w:start w:val="1"/>
      <w:numFmt w:val="lowerLetter"/>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75" w15:restartNumberingAfterBreak="0">
    <w:nsid w:val="4C2D107F"/>
    <w:multiLevelType w:val="hybridMultilevel"/>
    <w:tmpl w:val="199E308C"/>
    <w:lvl w:ilvl="0" w:tplc="A08EE45E">
      <w:start w:val="1"/>
      <w:numFmt w:val="decimal"/>
      <w:lvlText w:val="(%1)"/>
      <w:lvlJc w:val="left"/>
      <w:pPr>
        <w:ind w:left="99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6" w15:restartNumberingAfterBreak="0">
    <w:nsid w:val="4D1B396E"/>
    <w:multiLevelType w:val="hybridMultilevel"/>
    <w:tmpl w:val="E65622EA"/>
    <w:lvl w:ilvl="0" w:tplc="959E3516">
      <w:start w:val="1"/>
      <w:numFmt w:val="lowerLetter"/>
      <w:lvlText w:val="%1."/>
      <w:lvlJc w:val="left"/>
      <w:pPr>
        <w:ind w:left="720" w:hanging="360"/>
      </w:pPr>
      <w:rPr>
        <w:rFonts w:ascii="Times New Roman" w:hAnsi="Times New Roman" w:hint="default"/>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7" w15:restartNumberingAfterBreak="0">
    <w:nsid w:val="4D630B87"/>
    <w:multiLevelType w:val="hybridMultilevel"/>
    <w:tmpl w:val="C0E466FE"/>
    <w:lvl w:ilvl="0" w:tplc="959E3516">
      <w:start w:val="1"/>
      <w:numFmt w:val="lowerLetter"/>
      <w:lvlText w:val="%1."/>
      <w:lvlJc w:val="left"/>
      <w:pPr>
        <w:ind w:left="720" w:hanging="360"/>
      </w:pPr>
      <w:rPr>
        <w:rFonts w:ascii="Times New Roman" w:hAnsi="Times New Roman" w:hint="default"/>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8" w15:restartNumberingAfterBreak="0">
    <w:nsid w:val="4D730C5C"/>
    <w:multiLevelType w:val="hybridMultilevel"/>
    <w:tmpl w:val="A6C45F16"/>
    <w:lvl w:ilvl="0" w:tplc="EEF86612">
      <w:start w:val="1"/>
      <w:numFmt w:val="lowerLetter"/>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79" w15:restartNumberingAfterBreak="0">
    <w:nsid w:val="4D917540"/>
    <w:multiLevelType w:val="hybridMultilevel"/>
    <w:tmpl w:val="B104768A"/>
    <w:lvl w:ilvl="0" w:tplc="EEF86612">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0" w15:restartNumberingAfterBreak="0">
    <w:nsid w:val="4E123C18"/>
    <w:multiLevelType w:val="hybridMultilevel"/>
    <w:tmpl w:val="D0944F42"/>
    <w:lvl w:ilvl="0" w:tplc="05E4455E">
      <w:start w:val="1"/>
      <w:numFmt w:val="decimal"/>
      <w:lvlText w:val="A.%1."/>
      <w:lvlJc w:val="left"/>
      <w:pPr>
        <w:tabs>
          <w:tab w:val="num" w:pos="1836"/>
        </w:tabs>
      </w:pPr>
      <w:rPr>
        <w:rFonts w:cs="Times New Roman" w:hint="default"/>
        <w:b/>
        <w:i w:val="0"/>
        <w:dstrike w:val="0"/>
      </w:rPr>
    </w:lvl>
    <w:lvl w:ilvl="1" w:tplc="7A4E69DA">
      <w:start w:val="1"/>
      <w:numFmt w:val="lowerLetter"/>
      <w:lvlText w:val="%2."/>
      <w:lvlJc w:val="left"/>
      <w:pPr>
        <w:tabs>
          <w:tab w:val="num" w:pos="360"/>
        </w:tabs>
        <w:ind w:left="720"/>
      </w:pPr>
      <w:rPr>
        <w:rFonts w:cs="Times New Roman" w:hint="default"/>
        <w:b w:val="0"/>
        <w:i w:val="0"/>
        <w:dstrike w:val="0"/>
      </w:rPr>
    </w:lvl>
    <w:lvl w:ilvl="2" w:tplc="FA16CC8E">
      <w:start w:val="1"/>
      <w:numFmt w:val="decimal"/>
      <w:lvlText w:val="%3."/>
      <w:lvlJc w:val="left"/>
      <w:pPr>
        <w:tabs>
          <w:tab w:val="num" w:pos="2340"/>
        </w:tabs>
        <w:ind w:left="2340" w:hanging="360"/>
      </w:pPr>
      <w:rPr>
        <w:rFonts w:cs="Times New Roman" w:hint="default"/>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81" w15:restartNumberingAfterBreak="0">
    <w:nsid w:val="4E3512E6"/>
    <w:multiLevelType w:val="hybridMultilevel"/>
    <w:tmpl w:val="6F64DA9A"/>
    <w:lvl w:ilvl="0" w:tplc="EA4605DE">
      <w:start w:val="1"/>
      <w:numFmt w:val="lowerLetter"/>
      <w:lvlText w:val="%1."/>
      <w:lvlJc w:val="left"/>
      <w:pPr>
        <w:ind w:left="1080" w:hanging="360"/>
      </w:pPr>
      <w:rPr>
        <w:rFonts w:ascii="Times New Roman" w:hAnsi="Times New Roman" w:hint="default"/>
        <w:b w:val="0"/>
        <w:sz w:val="22"/>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82" w15:restartNumberingAfterBreak="0">
    <w:nsid w:val="4EB12410"/>
    <w:multiLevelType w:val="hybridMultilevel"/>
    <w:tmpl w:val="710C40A4"/>
    <w:lvl w:ilvl="0" w:tplc="EEF86612">
      <w:start w:val="1"/>
      <w:numFmt w:val="lowerLetter"/>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83" w15:restartNumberingAfterBreak="0">
    <w:nsid w:val="4F774469"/>
    <w:multiLevelType w:val="hybridMultilevel"/>
    <w:tmpl w:val="BA7E21BC"/>
    <w:lvl w:ilvl="0" w:tplc="BE4CE2A0">
      <w:start w:val="1"/>
      <w:numFmt w:val="lowerLetter"/>
      <w:lvlText w:val="%1.  "/>
      <w:lvlJc w:val="left"/>
      <w:pPr>
        <w:ind w:left="360" w:hanging="360"/>
      </w:pPr>
      <w:rPr>
        <w:rFonts w:hint="default"/>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84" w15:restartNumberingAfterBreak="0">
    <w:nsid w:val="50AC2A21"/>
    <w:multiLevelType w:val="hybridMultilevel"/>
    <w:tmpl w:val="22CC58E6"/>
    <w:lvl w:ilvl="0" w:tplc="D7580C66">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85" w15:restartNumberingAfterBreak="0">
    <w:nsid w:val="51683E9E"/>
    <w:multiLevelType w:val="hybridMultilevel"/>
    <w:tmpl w:val="E7180BF2"/>
    <w:lvl w:ilvl="0" w:tplc="E918F1DC">
      <w:start w:val="1"/>
      <w:numFmt w:val="lowerLetter"/>
      <w:lvlText w:val="(%1)"/>
      <w:lvlJc w:val="left"/>
      <w:pPr>
        <w:tabs>
          <w:tab w:val="num" w:pos="5400"/>
        </w:tabs>
        <w:ind w:left="5400" w:hanging="360"/>
      </w:pPr>
      <w:rPr>
        <w:rFonts w:hint="default"/>
        <w:b w:val="0"/>
        <w:i w:val="0"/>
      </w:rPr>
    </w:lvl>
    <w:lvl w:ilvl="1" w:tplc="AFC48D2A">
      <w:start w:val="1"/>
      <w:numFmt w:val="lowerLetter"/>
      <w:lvlText w:val="%2."/>
      <w:lvlJc w:val="left"/>
      <w:pPr>
        <w:tabs>
          <w:tab w:val="num" w:pos="1800"/>
        </w:tabs>
        <w:ind w:left="1440" w:hanging="360"/>
      </w:pPr>
      <w:rPr>
        <w:rFonts w:hint="default"/>
        <w:b w:val="0"/>
        <w:i w:val="0"/>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6" w15:restartNumberingAfterBreak="0">
    <w:nsid w:val="518647D0"/>
    <w:multiLevelType w:val="hybridMultilevel"/>
    <w:tmpl w:val="83A2828E"/>
    <w:lvl w:ilvl="0" w:tplc="959E3516">
      <w:start w:val="1"/>
      <w:numFmt w:val="lowerLetter"/>
      <w:lvlText w:val="%1."/>
      <w:lvlJc w:val="left"/>
      <w:pPr>
        <w:ind w:left="720" w:hanging="360"/>
      </w:pPr>
      <w:rPr>
        <w:rFonts w:ascii="Times New Roman" w:hAnsi="Times New Roman" w:hint="default"/>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7" w15:restartNumberingAfterBreak="0">
    <w:nsid w:val="51C10FBC"/>
    <w:multiLevelType w:val="hybridMultilevel"/>
    <w:tmpl w:val="5086A70A"/>
    <w:lvl w:ilvl="0" w:tplc="959E3516">
      <w:start w:val="1"/>
      <w:numFmt w:val="lowerLetter"/>
      <w:lvlText w:val="%1."/>
      <w:lvlJc w:val="left"/>
      <w:pPr>
        <w:ind w:left="720" w:hanging="360"/>
      </w:pPr>
      <w:rPr>
        <w:rFonts w:ascii="Times New Roman" w:hAnsi="Times New Roman" w:hint="default"/>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8" w15:restartNumberingAfterBreak="0">
    <w:nsid w:val="523F77AF"/>
    <w:multiLevelType w:val="hybridMultilevel"/>
    <w:tmpl w:val="61EABD98"/>
    <w:lvl w:ilvl="0" w:tplc="AA88B774">
      <w:start w:val="1"/>
      <w:numFmt w:val="decimal"/>
      <w:lvlText w:val="H.%1. "/>
      <w:lvlJc w:val="left"/>
      <w:pPr>
        <w:tabs>
          <w:tab w:val="num" w:pos="900"/>
        </w:tabs>
        <w:ind w:left="900" w:hanging="720"/>
      </w:pPr>
      <w:rPr>
        <w:rFonts w:ascii="Times New Roman" w:hAnsi="Times New Roman" w:cs="Times New Roman" w:hint="default"/>
        <w:b/>
        <w:i w:val="0"/>
        <w:strike w:val="0"/>
        <w:dstrike w:val="0"/>
        <w:sz w:val="22"/>
        <w:szCs w:val="22"/>
        <w:u w:val="none"/>
        <w:effect w:val="none"/>
      </w:r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start w:val="1"/>
      <w:numFmt w:val="decimal"/>
      <w:lvlText w:val="%4."/>
      <w:lvlJc w:val="left"/>
      <w:pPr>
        <w:ind w:left="3240" w:hanging="360"/>
      </w:pPr>
    </w:lvl>
    <w:lvl w:ilvl="4" w:tplc="04090019">
      <w:start w:val="1"/>
      <w:numFmt w:val="lowerLetter"/>
      <w:lvlText w:val="%5."/>
      <w:lvlJc w:val="left"/>
      <w:pPr>
        <w:ind w:left="3960" w:hanging="360"/>
      </w:pPr>
    </w:lvl>
    <w:lvl w:ilvl="5" w:tplc="0409001B">
      <w:start w:val="1"/>
      <w:numFmt w:val="lowerRoman"/>
      <w:lvlText w:val="%6."/>
      <w:lvlJc w:val="right"/>
      <w:pPr>
        <w:ind w:left="4680" w:hanging="180"/>
      </w:pPr>
    </w:lvl>
    <w:lvl w:ilvl="6" w:tplc="0409000F">
      <w:start w:val="1"/>
      <w:numFmt w:val="decimal"/>
      <w:lvlText w:val="%7."/>
      <w:lvlJc w:val="left"/>
      <w:pPr>
        <w:ind w:left="5400" w:hanging="360"/>
      </w:pPr>
    </w:lvl>
    <w:lvl w:ilvl="7" w:tplc="04090019">
      <w:start w:val="1"/>
      <w:numFmt w:val="lowerLetter"/>
      <w:lvlText w:val="%8."/>
      <w:lvlJc w:val="left"/>
      <w:pPr>
        <w:ind w:left="6120" w:hanging="360"/>
      </w:pPr>
    </w:lvl>
    <w:lvl w:ilvl="8" w:tplc="0409001B">
      <w:start w:val="1"/>
      <w:numFmt w:val="lowerRoman"/>
      <w:lvlText w:val="%9."/>
      <w:lvlJc w:val="right"/>
      <w:pPr>
        <w:ind w:left="6840" w:hanging="180"/>
      </w:pPr>
    </w:lvl>
  </w:abstractNum>
  <w:abstractNum w:abstractNumId="89" w15:restartNumberingAfterBreak="0">
    <w:nsid w:val="52C04864"/>
    <w:multiLevelType w:val="hybridMultilevel"/>
    <w:tmpl w:val="C3727AFA"/>
    <w:lvl w:ilvl="0" w:tplc="959E3516">
      <w:start w:val="1"/>
      <w:numFmt w:val="lowerLetter"/>
      <w:lvlText w:val="%1."/>
      <w:lvlJc w:val="left"/>
      <w:pPr>
        <w:ind w:left="720" w:hanging="360"/>
      </w:pPr>
      <w:rPr>
        <w:rFonts w:ascii="Times New Roman" w:hAnsi="Times New Roman" w:hint="default"/>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0" w15:restartNumberingAfterBreak="0">
    <w:nsid w:val="53400D67"/>
    <w:multiLevelType w:val="hybridMultilevel"/>
    <w:tmpl w:val="A5B8344A"/>
    <w:lvl w:ilvl="0" w:tplc="501006EA">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91" w15:restartNumberingAfterBreak="0">
    <w:nsid w:val="541F0256"/>
    <w:multiLevelType w:val="hybridMultilevel"/>
    <w:tmpl w:val="827C5072"/>
    <w:lvl w:ilvl="0" w:tplc="7A4E69DA">
      <w:start w:val="1"/>
      <w:numFmt w:val="lowerLetter"/>
      <w:lvlText w:val="%1."/>
      <w:lvlJc w:val="left"/>
      <w:pPr>
        <w:ind w:left="720" w:hanging="360"/>
      </w:pPr>
      <w:rPr>
        <w:rFonts w:cs="Times New Roman" w:hint="default"/>
        <w:b w:val="0"/>
        <w:i w:val="0"/>
        <w:dstrike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2" w15:restartNumberingAfterBreak="0">
    <w:nsid w:val="5453293E"/>
    <w:multiLevelType w:val="hybridMultilevel"/>
    <w:tmpl w:val="36D4DA70"/>
    <w:lvl w:ilvl="0" w:tplc="5614B2C2">
      <w:start w:val="1"/>
      <w:numFmt w:val="decimal"/>
      <w:lvlText w:val="F.%1. "/>
      <w:lvlJc w:val="left"/>
      <w:pPr>
        <w:tabs>
          <w:tab w:val="num" w:pos="5760"/>
        </w:tabs>
        <w:ind w:left="5760" w:hanging="720"/>
      </w:pPr>
      <w:rPr>
        <w:rFonts w:hint="default"/>
        <w:b/>
      </w:rPr>
    </w:lvl>
    <w:lvl w:ilvl="1" w:tplc="04090019" w:tentative="1">
      <w:start w:val="1"/>
      <w:numFmt w:val="lowerLetter"/>
      <w:lvlText w:val="%2."/>
      <w:lvlJc w:val="left"/>
      <w:pPr>
        <w:ind w:left="6120" w:hanging="360"/>
      </w:pPr>
    </w:lvl>
    <w:lvl w:ilvl="2" w:tplc="0409001B" w:tentative="1">
      <w:start w:val="1"/>
      <w:numFmt w:val="lowerRoman"/>
      <w:lvlText w:val="%3."/>
      <w:lvlJc w:val="right"/>
      <w:pPr>
        <w:ind w:left="6840" w:hanging="180"/>
      </w:pPr>
    </w:lvl>
    <w:lvl w:ilvl="3" w:tplc="0409000F" w:tentative="1">
      <w:start w:val="1"/>
      <w:numFmt w:val="decimal"/>
      <w:lvlText w:val="%4."/>
      <w:lvlJc w:val="left"/>
      <w:pPr>
        <w:ind w:left="7560" w:hanging="360"/>
      </w:pPr>
    </w:lvl>
    <w:lvl w:ilvl="4" w:tplc="04090019" w:tentative="1">
      <w:start w:val="1"/>
      <w:numFmt w:val="lowerLetter"/>
      <w:lvlText w:val="%5."/>
      <w:lvlJc w:val="left"/>
      <w:pPr>
        <w:ind w:left="8280" w:hanging="360"/>
      </w:pPr>
    </w:lvl>
    <w:lvl w:ilvl="5" w:tplc="0409001B" w:tentative="1">
      <w:start w:val="1"/>
      <w:numFmt w:val="lowerRoman"/>
      <w:lvlText w:val="%6."/>
      <w:lvlJc w:val="right"/>
      <w:pPr>
        <w:ind w:left="9000" w:hanging="180"/>
      </w:pPr>
    </w:lvl>
    <w:lvl w:ilvl="6" w:tplc="0409000F" w:tentative="1">
      <w:start w:val="1"/>
      <w:numFmt w:val="decimal"/>
      <w:lvlText w:val="%7."/>
      <w:lvlJc w:val="left"/>
      <w:pPr>
        <w:ind w:left="9720" w:hanging="360"/>
      </w:pPr>
    </w:lvl>
    <w:lvl w:ilvl="7" w:tplc="04090019" w:tentative="1">
      <w:start w:val="1"/>
      <w:numFmt w:val="lowerLetter"/>
      <w:lvlText w:val="%8."/>
      <w:lvlJc w:val="left"/>
      <w:pPr>
        <w:ind w:left="10440" w:hanging="360"/>
      </w:pPr>
    </w:lvl>
    <w:lvl w:ilvl="8" w:tplc="0409001B" w:tentative="1">
      <w:start w:val="1"/>
      <w:numFmt w:val="lowerRoman"/>
      <w:lvlText w:val="%9."/>
      <w:lvlJc w:val="right"/>
      <w:pPr>
        <w:ind w:left="11160" w:hanging="180"/>
      </w:pPr>
    </w:lvl>
  </w:abstractNum>
  <w:abstractNum w:abstractNumId="93" w15:restartNumberingAfterBreak="0">
    <w:nsid w:val="54CB4337"/>
    <w:multiLevelType w:val="hybridMultilevel"/>
    <w:tmpl w:val="AF48CF1E"/>
    <w:lvl w:ilvl="0" w:tplc="959E3516">
      <w:start w:val="1"/>
      <w:numFmt w:val="lowerLetter"/>
      <w:lvlText w:val="%1."/>
      <w:lvlJc w:val="left"/>
      <w:pPr>
        <w:ind w:left="720" w:hanging="360"/>
      </w:pPr>
      <w:rPr>
        <w:rFonts w:ascii="Times New Roman" w:hAnsi="Times New Roman" w:hint="default"/>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4" w15:restartNumberingAfterBreak="0">
    <w:nsid w:val="554A4351"/>
    <w:multiLevelType w:val="hybridMultilevel"/>
    <w:tmpl w:val="AC5A9EB0"/>
    <w:lvl w:ilvl="0" w:tplc="959E3516">
      <w:start w:val="1"/>
      <w:numFmt w:val="lowerLetter"/>
      <w:lvlText w:val="%1."/>
      <w:lvlJc w:val="left"/>
      <w:pPr>
        <w:ind w:left="720" w:hanging="360"/>
      </w:pPr>
      <w:rPr>
        <w:rFonts w:ascii="Times New Roman" w:hAnsi="Times New Roman" w:hint="default"/>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5" w15:restartNumberingAfterBreak="0">
    <w:nsid w:val="57866F37"/>
    <w:multiLevelType w:val="hybridMultilevel"/>
    <w:tmpl w:val="CB7E2ADE"/>
    <w:lvl w:ilvl="0" w:tplc="051091E0">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96" w15:restartNumberingAfterBreak="0">
    <w:nsid w:val="58300473"/>
    <w:multiLevelType w:val="hybridMultilevel"/>
    <w:tmpl w:val="1B90DF84"/>
    <w:lvl w:ilvl="0" w:tplc="18C8F9B6">
      <w:start w:val="1"/>
      <w:numFmt w:val="lowerLetter"/>
      <w:lvlText w:val="%1."/>
      <w:lvlJc w:val="left"/>
      <w:pPr>
        <w:tabs>
          <w:tab w:val="num" w:pos="720"/>
        </w:tabs>
        <w:ind w:left="360" w:firstLine="0"/>
      </w:pPr>
      <w:rPr>
        <w:b w:val="0"/>
        <w:i w:val="0"/>
      </w:rPr>
    </w:lvl>
    <w:lvl w:ilvl="1" w:tplc="832EFB0A">
      <w:start w:val="1"/>
      <w:numFmt w:val="lowerLetter"/>
      <w:lvlText w:val="%2."/>
      <w:lvlJc w:val="left"/>
      <w:pPr>
        <w:tabs>
          <w:tab w:val="num" w:pos="1440"/>
        </w:tabs>
        <w:ind w:left="1440" w:hanging="360"/>
      </w:pPr>
      <w:rPr>
        <w:i w:val="0"/>
      </w:r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97" w15:restartNumberingAfterBreak="0">
    <w:nsid w:val="58CD757E"/>
    <w:multiLevelType w:val="hybridMultilevel"/>
    <w:tmpl w:val="520625A8"/>
    <w:lvl w:ilvl="0" w:tplc="7D2C761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8" w15:restartNumberingAfterBreak="0">
    <w:nsid w:val="596A7E7F"/>
    <w:multiLevelType w:val="hybridMultilevel"/>
    <w:tmpl w:val="42507192"/>
    <w:lvl w:ilvl="0" w:tplc="EEF86612">
      <w:start w:val="1"/>
      <w:numFmt w:val="lowerLetter"/>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99" w15:restartNumberingAfterBreak="0">
    <w:nsid w:val="5A0A0975"/>
    <w:multiLevelType w:val="hybridMultilevel"/>
    <w:tmpl w:val="2160D134"/>
    <w:lvl w:ilvl="0" w:tplc="0CF8DB2C">
      <w:start w:val="1"/>
      <w:numFmt w:val="lowerLetter"/>
      <w:lvlText w:val="%1."/>
      <w:lvlJc w:val="left"/>
      <w:pPr>
        <w:tabs>
          <w:tab w:val="num" w:pos="720"/>
        </w:tabs>
        <w:ind w:left="720" w:hanging="360"/>
      </w:pPr>
      <w:rPr>
        <w:rFonts w:cs="Times New Roman"/>
        <w:b w:val="0"/>
        <w:i w:val="0"/>
        <w:strike w:val="0"/>
        <w:dstrike w:val="0"/>
        <w:u w:val="none"/>
        <w:effect w:val="none"/>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00" w15:restartNumberingAfterBreak="0">
    <w:nsid w:val="5AD43C1D"/>
    <w:multiLevelType w:val="hybridMultilevel"/>
    <w:tmpl w:val="BB22A8E0"/>
    <w:lvl w:ilvl="0" w:tplc="16AE5A32">
      <w:start w:val="1"/>
      <w:numFmt w:val="decimal"/>
      <w:lvlText w:val="(%1)"/>
      <w:lvlJc w:val="left"/>
      <w:pPr>
        <w:ind w:left="108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1" w15:restartNumberingAfterBreak="0">
    <w:nsid w:val="5C574189"/>
    <w:multiLevelType w:val="hybridMultilevel"/>
    <w:tmpl w:val="7584AD00"/>
    <w:lvl w:ilvl="0" w:tplc="7340F6A8">
      <w:start w:val="1"/>
      <w:numFmt w:val="lowerLetter"/>
      <w:lvlText w:val="%1."/>
      <w:lvlJc w:val="left"/>
      <w:pPr>
        <w:ind w:left="720" w:hanging="360"/>
      </w:pPr>
      <w:rPr>
        <w:strik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2" w15:restartNumberingAfterBreak="0">
    <w:nsid w:val="5DE016DA"/>
    <w:multiLevelType w:val="hybridMultilevel"/>
    <w:tmpl w:val="D79057E2"/>
    <w:lvl w:ilvl="0" w:tplc="AC861F2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3" w15:restartNumberingAfterBreak="0">
    <w:nsid w:val="5FD819D2"/>
    <w:multiLevelType w:val="hybridMultilevel"/>
    <w:tmpl w:val="9280DD2A"/>
    <w:lvl w:ilvl="0" w:tplc="959E3516">
      <w:start w:val="1"/>
      <w:numFmt w:val="lowerLetter"/>
      <w:lvlText w:val="%1."/>
      <w:lvlJc w:val="left"/>
      <w:pPr>
        <w:ind w:left="720" w:hanging="360"/>
      </w:pPr>
      <w:rPr>
        <w:rFonts w:ascii="Times New Roman" w:hAnsi="Times New Roman" w:hint="default"/>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4" w15:restartNumberingAfterBreak="0">
    <w:nsid w:val="606E27C3"/>
    <w:multiLevelType w:val="hybridMultilevel"/>
    <w:tmpl w:val="CB7E2ADE"/>
    <w:lvl w:ilvl="0" w:tplc="051091E0">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05" w15:restartNumberingAfterBreak="0">
    <w:nsid w:val="61C16C7D"/>
    <w:multiLevelType w:val="hybridMultilevel"/>
    <w:tmpl w:val="94CC00EE"/>
    <w:lvl w:ilvl="0" w:tplc="5DBC6958">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06" w15:restartNumberingAfterBreak="0">
    <w:nsid w:val="629D7142"/>
    <w:multiLevelType w:val="hybridMultilevel"/>
    <w:tmpl w:val="88DE1896"/>
    <w:lvl w:ilvl="0" w:tplc="959E3516">
      <w:start w:val="1"/>
      <w:numFmt w:val="lowerLetter"/>
      <w:lvlText w:val="%1."/>
      <w:lvlJc w:val="left"/>
      <w:pPr>
        <w:ind w:left="720" w:hanging="360"/>
      </w:pPr>
      <w:rPr>
        <w:rFonts w:ascii="Times New Roman" w:hAnsi="Times New Roman" w:hint="default"/>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7" w15:restartNumberingAfterBreak="0">
    <w:nsid w:val="641A12FC"/>
    <w:multiLevelType w:val="hybridMultilevel"/>
    <w:tmpl w:val="ED465190"/>
    <w:lvl w:ilvl="0" w:tplc="959E3516">
      <w:start w:val="1"/>
      <w:numFmt w:val="lowerLetter"/>
      <w:lvlText w:val="%1."/>
      <w:lvlJc w:val="left"/>
      <w:pPr>
        <w:ind w:left="1080" w:hanging="360"/>
      </w:pPr>
      <w:rPr>
        <w:rFonts w:ascii="Times New Roman" w:hAnsi="Times New Roman" w:hint="default"/>
        <w:sz w:val="22"/>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08" w15:restartNumberingAfterBreak="0">
    <w:nsid w:val="642362FB"/>
    <w:multiLevelType w:val="hybridMultilevel"/>
    <w:tmpl w:val="24CAA20C"/>
    <w:lvl w:ilvl="0" w:tplc="EEF86612">
      <w:start w:val="1"/>
      <w:numFmt w:val="lowerLetter"/>
      <w:lvlText w:val="(%1)"/>
      <w:lvlJc w:val="left"/>
      <w:pPr>
        <w:ind w:left="1800" w:hanging="36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109" w15:restartNumberingAfterBreak="0">
    <w:nsid w:val="644D2187"/>
    <w:multiLevelType w:val="hybridMultilevel"/>
    <w:tmpl w:val="EE14039A"/>
    <w:lvl w:ilvl="0" w:tplc="959E3516">
      <w:start w:val="1"/>
      <w:numFmt w:val="lowerLetter"/>
      <w:lvlText w:val="%1."/>
      <w:lvlJc w:val="left"/>
      <w:pPr>
        <w:ind w:left="720" w:hanging="360"/>
      </w:pPr>
      <w:rPr>
        <w:rFonts w:ascii="Times New Roman" w:hAnsi="Times New Roman" w:hint="default"/>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0" w15:restartNumberingAfterBreak="0">
    <w:nsid w:val="65CE4F8F"/>
    <w:multiLevelType w:val="hybridMultilevel"/>
    <w:tmpl w:val="CEAAF0D0"/>
    <w:lvl w:ilvl="0" w:tplc="959E3516">
      <w:start w:val="1"/>
      <w:numFmt w:val="lowerLetter"/>
      <w:lvlText w:val="%1."/>
      <w:lvlJc w:val="left"/>
      <w:pPr>
        <w:ind w:left="360" w:hanging="360"/>
      </w:pPr>
      <w:rPr>
        <w:rFonts w:ascii="Times New Roman" w:hAnsi="Times New Roman" w:hint="default"/>
        <w:sz w:val="22"/>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11" w15:restartNumberingAfterBreak="0">
    <w:nsid w:val="660945E9"/>
    <w:multiLevelType w:val="hybridMultilevel"/>
    <w:tmpl w:val="9EB403F2"/>
    <w:lvl w:ilvl="0" w:tplc="04090019">
      <w:start w:val="1"/>
      <w:numFmt w:val="lowerLetter"/>
      <w:lvlText w:val="%1."/>
      <w:lvlJc w:val="left"/>
      <w:pPr>
        <w:ind w:left="2520" w:hanging="360"/>
      </w:pPr>
    </w:lvl>
    <w:lvl w:ilvl="1" w:tplc="E500CC40">
      <w:start w:val="1"/>
      <w:numFmt w:val="decimal"/>
      <w:lvlText w:val="(%2)"/>
      <w:lvlJc w:val="left"/>
      <w:pPr>
        <w:ind w:left="3240" w:hanging="360"/>
      </w:pPr>
      <w:rPr>
        <w:rFonts w:ascii="Times New Roman" w:hAnsi="Times New Roman" w:hint="default"/>
        <w:sz w:val="22"/>
      </w:rPr>
    </w:lvl>
    <w:lvl w:ilvl="2" w:tplc="0409001B" w:tentative="1">
      <w:start w:val="1"/>
      <w:numFmt w:val="lowerRoman"/>
      <w:lvlText w:val="%3."/>
      <w:lvlJc w:val="right"/>
      <w:pPr>
        <w:ind w:left="3960" w:hanging="180"/>
      </w:pPr>
    </w:lvl>
    <w:lvl w:ilvl="3" w:tplc="0409000F" w:tentative="1">
      <w:start w:val="1"/>
      <w:numFmt w:val="decimal"/>
      <w:lvlText w:val="%4."/>
      <w:lvlJc w:val="left"/>
      <w:pPr>
        <w:ind w:left="4680" w:hanging="360"/>
      </w:pPr>
    </w:lvl>
    <w:lvl w:ilvl="4" w:tplc="04090019" w:tentative="1">
      <w:start w:val="1"/>
      <w:numFmt w:val="lowerLetter"/>
      <w:lvlText w:val="%5."/>
      <w:lvlJc w:val="left"/>
      <w:pPr>
        <w:ind w:left="5400" w:hanging="360"/>
      </w:pPr>
    </w:lvl>
    <w:lvl w:ilvl="5" w:tplc="0409001B" w:tentative="1">
      <w:start w:val="1"/>
      <w:numFmt w:val="lowerRoman"/>
      <w:lvlText w:val="%6."/>
      <w:lvlJc w:val="right"/>
      <w:pPr>
        <w:ind w:left="6120" w:hanging="180"/>
      </w:pPr>
    </w:lvl>
    <w:lvl w:ilvl="6" w:tplc="0409000F" w:tentative="1">
      <w:start w:val="1"/>
      <w:numFmt w:val="decimal"/>
      <w:lvlText w:val="%7."/>
      <w:lvlJc w:val="left"/>
      <w:pPr>
        <w:ind w:left="6840" w:hanging="360"/>
      </w:pPr>
    </w:lvl>
    <w:lvl w:ilvl="7" w:tplc="04090019" w:tentative="1">
      <w:start w:val="1"/>
      <w:numFmt w:val="lowerLetter"/>
      <w:lvlText w:val="%8."/>
      <w:lvlJc w:val="left"/>
      <w:pPr>
        <w:ind w:left="7560" w:hanging="360"/>
      </w:pPr>
    </w:lvl>
    <w:lvl w:ilvl="8" w:tplc="0409001B" w:tentative="1">
      <w:start w:val="1"/>
      <w:numFmt w:val="lowerRoman"/>
      <w:lvlText w:val="%9."/>
      <w:lvlJc w:val="right"/>
      <w:pPr>
        <w:ind w:left="8280" w:hanging="180"/>
      </w:pPr>
    </w:lvl>
  </w:abstractNum>
  <w:abstractNum w:abstractNumId="112" w15:restartNumberingAfterBreak="0">
    <w:nsid w:val="6613223F"/>
    <w:multiLevelType w:val="hybridMultilevel"/>
    <w:tmpl w:val="0F36E98E"/>
    <w:lvl w:ilvl="0" w:tplc="F7D0AB78">
      <w:start w:val="1"/>
      <w:numFmt w:val="decimal"/>
      <w:lvlText w:val="D.%1."/>
      <w:lvlJc w:val="left"/>
      <w:pPr>
        <w:tabs>
          <w:tab w:val="num" w:pos="1080"/>
        </w:tabs>
        <w:ind w:left="1080" w:hanging="720"/>
      </w:pPr>
      <w:rPr>
        <w:b/>
        <w:i w:val="0"/>
        <w:strike w:val="0"/>
        <w:dstrike w:val="0"/>
        <w:color w:val="auto"/>
        <w:sz w:val="22"/>
        <w:szCs w:val="22"/>
        <w:u w:val="none"/>
        <w:effect w:val="none"/>
      </w:rPr>
    </w:lvl>
    <w:lvl w:ilvl="1" w:tplc="B1520690">
      <w:start w:val="1"/>
      <w:numFmt w:val="lowerLetter"/>
      <w:lvlText w:val="%2."/>
      <w:lvlJc w:val="left"/>
      <w:pPr>
        <w:ind w:left="900" w:hanging="360"/>
      </w:pPr>
      <w:rPr>
        <w:strike w:val="0"/>
      </w:rPr>
    </w:lvl>
    <w:lvl w:ilvl="2" w:tplc="0409001B">
      <w:start w:val="1"/>
      <w:numFmt w:val="lowerRoman"/>
      <w:lvlText w:val="%3."/>
      <w:lvlJc w:val="right"/>
      <w:pPr>
        <w:ind w:left="2520" w:hanging="180"/>
      </w:pPr>
    </w:lvl>
    <w:lvl w:ilvl="3" w:tplc="0409000F">
      <w:start w:val="1"/>
      <w:numFmt w:val="decimal"/>
      <w:lvlText w:val="%4."/>
      <w:lvlJc w:val="left"/>
      <w:pPr>
        <w:ind w:left="3240" w:hanging="360"/>
      </w:pPr>
    </w:lvl>
    <w:lvl w:ilvl="4" w:tplc="04090019">
      <w:start w:val="1"/>
      <w:numFmt w:val="lowerLetter"/>
      <w:lvlText w:val="%5."/>
      <w:lvlJc w:val="left"/>
      <w:pPr>
        <w:ind w:left="3960" w:hanging="360"/>
      </w:pPr>
    </w:lvl>
    <w:lvl w:ilvl="5" w:tplc="0409001B">
      <w:start w:val="1"/>
      <w:numFmt w:val="lowerRoman"/>
      <w:lvlText w:val="%6."/>
      <w:lvlJc w:val="right"/>
      <w:pPr>
        <w:ind w:left="4680" w:hanging="180"/>
      </w:pPr>
    </w:lvl>
    <w:lvl w:ilvl="6" w:tplc="0409000F">
      <w:start w:val="1"/>
      <w:numFmt w:val="decimal"/>
      <w:lvlText w:val="%7."/>
      <w:lvlJc w:val="left"/>
      <w:pPr>
        <w:ind w:left="5400" w:hanging="360"/>
      </w:pPr>
    </w:lvl>
    <w:lvl w:ilvl="7" w:tplc="04090019">
      <w:start w:val="1"/>
      <w:numFmt w:val="lowerLetter"/>
      <w:lvlText w:val="%8."/>
      <w:lvlJc w:val="left"/>
      <w:pPr>
        <w:ind w:left="6120" w:hanging="360"/>
      </w:pPr>
    </w:lvl>
    <w:lvl w:ilvl="8" w:tplc="0409001B">
      <w:start w:val="1"/>
      <w:numFmt w:val="lowerRoman"/>
      <w:lvlText w:val="%9."/>
      <w:lvlJc w:val="right"/>
      <w:pPr>
        <w:ind w:left="6840" w:hanging="180"/>
      </w:pPr>
    </w:lvl>
  </w:abstractNum>
  <w:abstractNum w:abstractNumId="113" w15:restartNumberingAfterBreak="0">
    <w:nsid w:val="66FC25CC"/>
    <w:multiLevelType w:val="hybridMultilevel"/>
    <w:tmpl w:val="10FCEA46"/>
    <w:lvl w:ilvl="0" w:tplc="EEF86612">
      <w:start w:val="1"/>
      <w:numFmt w:val="lowerLetter"/>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14" w15:restartNumberingAfterBreak="0">
    <w:nsid w:val="679E5BE3"/>
    <w:multiLevelType w:val="hybridMultilevel"/>
    <w:tmpl w:val="DCE4D7F8"/>
    <w:lvl w:ilvl="0" w:tplc="E6DAC7B8">
      <w:start w:val="1"/>
      <w:numFmt w:val="lowerLetter"/>
      <w:lvlText w:val="%1."/>
      <w:lvlJc w:val="left"/>
      <w:pPr>
        <w:ind w:left="720" w:hanging="360"/>
      </w:pPr>
      <w:rPr>
        <w:rFonts w:ascii="Times New Roman" w:hAnsi="Times New Roman" w:hint="default"/>
        <w:i w:val="0"/>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5" w15:restartNumberingAfterBreak="0">
    <w:nsid w:val="68123590"/>
    <w:multiLevelType w:val="hybridMultilevel"/>
    <w:tmpl w:val="A26697D4"/>
    <w:lvl w:ilvl="0" w:tplc="1228E15C">
      <w:start w:val="1"/>
      <w:numFmt w:val="lowerLetter"/>
      <w:lvlText w:val="%1."/>
      <w:lvlJc w:val="left"/>
      <w:pPr>
        <w:tabs>
          <w:tab w:val="num" w:pos="1080"/>
        </w:tabs>
        <w:ind w:left="720" w:hanging="360"/>
      </w:pPr>
      <w:rPr>
        <w:rFonts w:hint="default"/>
        <w:b w:val="0"/>
        <w:i w:val="0"/>
        <w:strike/>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6" w15:restartNumberingAfterBreak="0">
    <w:nsid w:val="69110894"/>
    <w:multiLevelType w:val="hybridMultilevel"/>
    <w:tmpl w:val="A0044C22"/>
    <w:lvl w:ilvl="0" w:tplc="959E3516">
      <w:start w:val="1"/>
      <w:numFmt w:val="lowerLetter"/>
      <w:lvlText w:val="%1."/>
      <w:lvlJc w:val="left"/>
      <w:pPr>
        <w:ind w:left="720" w:hanging="360"/>
      </w:pPr>
      <w:rPr>
        <w:rFonts w:ascii="Times New Roman" w:hAnsi="Times New Roman" w:hint="default"/>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7" w15:restartNumberingAfterBreak="0">
    <w:nsid w:val="6CA54D19"/>
    <w:multiLevelType w:val="hybridMultilevel"/>
    <w:tmpl w:val="17161B46"/>
    <w:lvl w:ilvl="0" w:tplc="4A3C54D4">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18" w15:restartNumberingAfterBreak="0">
    <w:nsid w:val="6D523F8E"/>
    <w:multiLevelType w:val="hybridMultilevel"/>
    <w:tmpl w:val="CB1C87C4"/>
    <w:lvl w:ilvl="0" w:tplc="9E8850D2">
      <w:start w:val="1"/>
      <w:numFmt w:val="lowerLetter"/>
      <w:lvlText w:val="%1"/>
      <w:lvlJc w:val="left"/>
      <w:pPr>
        <w:tabs>
          <w:tab w:val="num" w:pos="1836"/>
        </w:tabs>
        <w:ind w:left="0" w:firstLine="0"/>
      </w:pPr>
      <w:rPr>
        <w:rFonts w:cs="Times New Roman" w:hint="default"/>
        <w:b w:val="0"/>
        <w:i w:val="0"/>
        <w:dstrike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9" w15:restartNumberingAfterBreak="0">
    <w:nsid w:val="6DFC3161"/>
    <w:multiLevelType w:val="hybridMultilevel"/>
    <w:tmpl w:val="26E6876E"/>
    <w:lvl w:ilvl="0" w:tplc="959E3516">
      <w:start w:val="1"/>
      <w:numFmt w:val="lowerLetter"/>
      <w:lvlText w:val="%1."/>
      <w:lvlJc w:val="left"/>
      <w:pPr>
        <w:ind w:left="1080" w:hanging="360"/>
      </w:pPr>
      <w:rPr>
        <w:rFonts w:ascii="Times New Roman" w:hAnsi="Times New Roman" w:hint="default"/>
        <w:sz w:val="22"/>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20" w15:restartNumberingAfterBreak="0">
    <w:nsid w:val="71396742"/>
    <w:multiLevelType w:val="hybridMultilevel"/>
    <w:tmpl w:val="2C38A9D6"/>
    <w:lvl w:ilvl="0" w:tplc="C2A251BA">
      <w:start w:val="1"/>
      <w:numFmt w:val="lowerLetter"/>
      <w:lvlText w:val="%1."/>
      <w:lvlJc w:val="left"/>
      <w:pPr>
        <w:tabs>
          <w:tab w:val="num" w:pos="720"/>
        </w:tabs>
        <w:ind w:left="720" w:hanging="360"/>
      </w:pPr>
      <w:rPr>
        <w:rFonts w:cs="Times New Roman"/>
        <w:b w:val="0"/>
        <w:i w:val="0"/>
        <w:strike w:val="0"/>
        <w:dstrike w:val="0"/>
        <w:u w:val="none"/>
        <w:effect w:val="none"/>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21" w15:restartNumberingAfterBreak="0">
    <w:nsid w:val="74BE67B5"/>
    <w:multiLevelType w:val="hybridMultilevel"/>
    <w:tmpl w:val="A654717C"/>
    <w:lvl w:ilvl="0" w:tplc="A9FC9DCC">
      <w:start w:val="1"/>
      <w:numFmt w:val="lowerLetter"/>
      <w:lvlText w:val="(%1)"/>
      <w:lvlJc w:val="left"/>
      <w:pPr>
        <w:ind w:left="1800" w:hanging="360"/>
      </w:pPr>
      <w:rPr>
        <w:rFonts w:hint="default"/>
        <w:b w:val="0"/>
        <w:i w:val="0"/>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122" w15:restartNumberingAfterBreak="0">
    <w:nsid w:val="74C3262E"/>
    <w:multiLevelType w:val="hybridMultilevel"/>
    <w:tmpl w:val="F14C7F58"/>
    <w:lvl w:ilvl="0" w:tplc="575E36C8">
      <w:start w:val="1"/>
      <w:numFmt w:val="lowerLetter"/>
      <w:lvlText w:val="%1."/>
      <w:lvlJc w:val="left"/>
      <w:pPr>
        <w:tabs>
          <w:tab w:val="num" w:pos="720"/>
        </w:tabs>
        <w:ind w:left="360" w:firstLine="0"/>
      </w:pPr>
      <w:rPr>
        <w:rFonts w:hint="default"/>
        <w:b w:val="0"/>
        <w:i w:val="0"/>
      </w:rPr>
    </w:lvl>
    <w:lvl w:ilvl="1" w:tplc="04090019">
      <w:start w:val="1"/>
      <w:numFmt w:val="lowerLetter"/>
      <w:lvlText w:val="%2."/>
      <w:lvlJc w:val="left"/>
      <w:pPr>
        <w:tabs>
          <w:tab w:val="num" w:pos="-180"/>
        </w:tabs>
        <w:ind w:left="-180" w:hanging="360"/>
      </w:pPr>
    </w:lvl>
    <w:lvl w:ilvl="2" w:tplc="0409001B" w:tentative="1">
      <w:start w:val="1"/>
      <w:numFmt w:val="lowerRoman"/>
      <w:lvlText w:val="%3."/>
      <w:lvlJc w:val="right"/>
      <w:pPr>
        <w:tabs>
          <w:tab w:val="num" w:pos="540"/>
        </w:tabs>
        <w:ind w:left="540" w:hanging="180"/>
      </w:pPr>
    </w:lvl>
    <w:lvl w:ilvl="3" w:tplc="0409000F" w:tentative="1">
      <w:start w:val="1"/>
      <w:numFmt w:val="decimal"/>
      <w:lvlText w:val="%4."/>
      <w:lvlJc w:val="left"/>
      <w:pPr>
        <w:tabs>
          <w:tab w:val="num" w:pos="1260"/>
        </w:tabs>
        <w:ind w:left="1260" w:hanging="360"/>
      </w:pPr>
    </w:lvl>
    <w:lvl w:ilvl="4" w:tplc="04090019" w:tentative="1">
      <w:start w:val="1"/>
      <w:numFmt w:val="lowerLetter"/>
      <w:lvlText w:val="%5."/>
      <w:lvlJc w:val="left"/>
      <w:pPr>
        <w:tabs>
          <w:tab w:val="num" w:pos="1980"/>
        </w:tabs>
        <w:ind w:left="1980" w:hanging="360"/>
      </w:pPr>
    </w:lvl>
    <w:lvl w:ilvl="5" w:tplc="0409001B" w:tentative="1">
      <w:start w:val="1"/>
      <w:numFmt w:val="lowerRoman"/>
      <w:lvlText w:val="%6."/>
      <w:lvlJc w:val="right"/>
      <w:pPr>
        <w:tabs>
          <w:tab w:val="num" w:pos="2700"/>
        </w:tabs>
        <w:ind w:left="2700" w:hanging="180"/>
      </w:pPr>
    </w:lvl>
    <w:lvl w:ilvl="6" w:tplc="0409000F" w:tentative="1">
      <w:start w:val="1"/>
      <w:numFmt w:val="decimal"/>
      <w:lvlText w:val="%7."/>
      <w:lvlJc w:val="left"/>
      <w:pPr>
        <w:tabs>
          <w:tab w:val="num" w:pos="3420"/>
        </w:tabs>
        <w:ind w:left="3420" w:hanging="360"/>
      </w:pPr>
    </w:lvl>
    <w:lvl w:ilvl="7" w:tplc="04090019" w:tentative="1">
      <w:start w:val="1"/>
      <w:numFmt w:val="lowerLetter"/>
      <w:lvlText w:val="%8."/>
      <w:lvlJc w:val="left"/>
      <w:pPr>
        <w:tabs>
          <w:tab w:val="num" w:pos="4140"/>
        </w:tabs>
        <w:ind w:left="4140" w:hanging="360"/>
      </w:pPr>
    </w:lvl>
    <w:lvl w:ilvl="8" w:tplc="0409001B" w:tentative="1">
      <w:start w:val="1"/>
      <w:numFmt w:val="lowerRoman"/>
      <w:lvlText w:val="%9."/>
      <w:lvlJc w:val="right"/>
      <w:pPr>
        <w:tabs>
          <w:tab w:val="num" w:pos="4860"/>
        </w:tabs>
        <w:ind w:left="4860" w:hanging="180"/>
      </w:pPr>
    </w:lvl>
  </w:abstractNum>
  <w:abstractNum w:abstractNumId="123" w15:restartNumberingAfterBreak="0">
    <w:nsid w:val="769222A6"/>
    <w:multiLevelType w:val="hybridMultilevel"/>
    <w:tmpl w:val="C4A0A104"/>
    <w:lvl w:ilvl="0" w:tplc="881043D0">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24" w15:restartNumberingAfterBreak="0">
    <w:nsid w:val="76F308B8"/>
    <w:multiLevelType w:val="hybridMultilevel"/>
    <w:tmpl w:val="7C400BBC"/>
    <w:lvl w:ilvl="0" w:tplc="959E3516">
      <w:start w:val="1"/>
      <w:numFmt w:val="lowerLetter"/>
      <w:lvlText w:val="%1."/>
      <w:lvlJc w:val="left"/>
      <w:pPr>
        <w:ind w:left="720" w:hanging="360"/>
      </w:pPr>
      <w:rPr>
        <w:rFonts w:ascii="Times New Roman" w:hAnsi="Times New Roman" w:hint="default"/>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5" w15:restartNumberingAfterBreak="0">
    <w:nsid w:val="77572149"/>
    <w:multiLevelType w:val="hybridMultilevel"/>
    <w:tmpl w:val="660C6730"/>
    <w:lvl w:ilvl="0" w:tplc="F68AACC8">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26" w15:restartNumberingAfterBreak="0">
    <w:nsid w:val="777635AB"/>
    <w:multiLevelType w:val="hybridMultilevel"/>
    <w:tmpl w:val="5B90FCAA"/>
    <w:lvl w:ilvl="0" w:tplc="15BC1CCA">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27" w15:restartNumberingAfterBreak="0">
    <w:nsid w:val="784D615C"/>
    <w:multiLevelType w:val="hybridMultilevel"/>
    <w:tmpl w:val="9FB0BE2C"/>
    <w:lvl w:ilvl="0" w:tplc="EEF86612">
      <w:start w:val="1"/>
      <w:numFmt w:val="lowerLetter"/>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28" w15:restartNumberingAfterBreak="0">
    <w:nsid w:val="7A3A5F82"/>
    <w:multiLevelType w:val="hybridMultilevel"/>
    <w:tmpl w:val="56A8F8CE"/>
    <w:lvl w:ilvl="0" w:tplc="959E3516">
      <w:start w:val="1"/>
      <w:numFmt w:val="lowerLetter"/>
      <w:lvlText w:val="%1."/>
      <w:lvlJc w:val="left"/>
      <w:pPr>
        <w:ind w:left="720" w:hanging="360"/>
      </w:pPr>
      <w:rPr>
        <w:rFonts w:ascii="Times New Roman" w:hAnsi="Times New Roman" w:hint="default"/>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9" w15:restartNumberingAfterBreak="0">
    <w:nsid w:val="7B524149"/>
    <w:multiLevelType w:val="hybridMultilevel"/>
    <w:tmpl w:val="5F906A7E"/>
    <w:lvl w:ilvl="0" w:tplc="AFC48D2A">
      <w:start w:val="1"/>
      <w:numFmt w:val="lowerLetter"/>
      <w:lvlText w:val="%1."/>
      <w:lvlJc w:val="left"/>
      <w:pPr>
        <w:tabs>
          <w:tab w:val="num" w:pos="1080"/>
        </w:tabs>
        <w:ind w:left="720" w:hanging="360"/>
      </w:pPr>
      <w:rPr>
        <w:rFonts w:hint="default"/>
        <w:b w:val="0"/>
        <w:i w:val="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0" w15:restartNumberingAfterBreak="0">
    <w:nsid w:val="7BF9534A"/>
    <w:multiLevelType w:val="hybridMultilevel"/>
    <w:tmpl w:val="2B78F210"/>
    <w:lvl w:ilvl="0" w:tplc="959E3516">
      <w:start w:val="1"/>
      <w:numFmt w:val="lowerLetter"/>
      <w:lvlText w:val="%1."/>
      <w:lvlJc w:val="left"/>
      <w:pPr>
        <w:ind w:left="1080" w:hanging="360"/>
      </w:pPr>
      <w:rPr>
        <w:rFonts w:ascii="Times New Roman" w:hAnsi="Times New Roman" w:hint="default"/>
        <w:sz w:val="22"/>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31" w15:restartNumberingAfterBreak="0">
    <w:nsid w:val="7E48558D"/>
    <w:multiLevelType w:val="hybridMultilevel"/>
    <w:tmpl w:val="A96883BC"/>
    <w:lvl w:ilvl="0" w:tplc="6AD63410">
      <w:start w:val="1"/>
      <w:numFmt w:val="decimal"/>
      <w:lvlText w:val="B.%1."/>
      <w:lvlJc w:val="left"/>
      <w:pPr>
        <w:tabs>
          <w:tab w:val="num" w:pos="720"/>
        </w:tabs>
        <w:ind w:left="720" w:hanging="720"/>
      </w:pPr>
      <w:rPr>
        <w:rFonts w:ascii="Times New Roman" w:hAnsi="Times New Roman" w:cs="Times New Roman" w:hint="default"/>
        <w:b/>
        <w:i w:val="0"/>
        <w:dstrike w:val="0"/>
        <w:sz w:val="22"/>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2" w15:restartNumberingAfterBreak="0">
    <w:nsid w:val="7EEC7491"/>
    <w:multiLevelType w:val="hybridMultilevel"/>
    <w:tmpl w:val="7EC6D61E"/>
    <w:lvl w:ilvl="0" w:tplc="BB3EEE4E">
      <w:start w:val="1"/>
      <w:numFmt w:val="lowerRoman"/>
      <w:lvlText w:val="%1."/>
      <w:lvlJc w:val="left"/>
      <w:pPr>
        <w:ind w:left="1800" w:hanging="36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133" w15:restartNumberingAfterBreak="0">
    <w:nsid w:val="7F2639B0"/>
    <w:multiLevelType w:val="hybridMultilevel"/>
    <w:tmpl w:val="CE6488E0"/>
    <w:lvl w:ilvl="0" w:tplc="959E3516">
      <w:start w:val="1"/>
      <w:numFmt w:val="lowerLetter"/>
      <w:lvlText w:val="%1."/>
      <w:lvlJc w:val="left"/>
      <w:pPr>
        <w:ind w:left="720" w:hanging="360"/>
      </w:pPr>
      <w:rPr>
        <w:rFonts w:ascii="Times New Roman" w:hAnsi="Times New Roman" w:hint="default"/>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4" w15:restartNumberingAfterBreak="0">
    <w:nsid w:val="7F303783"/>
    <w:multiLevelType w:val="hybridMultilevel"/>
    <w:tmpl w:val="BEEAB070"/>
    <w:lvl w:ilvl="0" w:tplc="D31C967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5" w15:restartNumberingAfterBreak="0">
    <w:nsid w:val="7FD8437F"/>
    <w:multiLevelType w:val="hybridMultilevel"/>
    <w:tmpl w:val="22CC58E6"/>
    <w:lvl w:ilvl="0" w:tplc="D7580C66">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num w:numId="1">
    <w:abstractNumId w:val="20"/>
  </w:num>
  <w:num w:numId="2">
    <w:abstractNumId w:val="80"/>
  </w:num>
  <w:num w:numId="3">
    <w:abstractNumId w:val="131"/>
  </w:num>
  <w:num w:numId="4">
    <w:abstractNumId w:val="70"/>
  </w:num>
  <w:num w:numId="5">
    <w:abstractNumId w:val="22"/>
  </w:num>
  <w:num w:numId="6">
    <w:abstractNumId w:val="34"/>
  </w:num>
  <w:num w:numId="7">
    <w:abstractNumId w:val="106"/>
  </w:num>
  <w:num w:numId="8">
    <w:abstractNumId w:val="62"/>
  </w:num>
  <w:num w:numId="9">
    <w:abstractNumId w:val="86"/>
  </w:num>
  <w:num w:numId="10">
    <w:abstractNumId w:val="79"/>
  </w:num>
  <w:num w:numId="11">
    <w:abstractNumId w:val="50"/>
  </w:num>
  <w:num w:numId="12">
    <w:abstractNumId w:val="85"/>
  </w:num>
  <w:num w:numId="13">
    <w:abstractNumId w:val="91"/>
  </w:num>
  <w:num w:numId="14">
    <w:abstractNumId w:val="53"/>
  </w:num>
  <w:num w:numId="15">
    <w:abstractNumId w:val="5"/>
  </w:num>
  <w:num w:numId="16">
    <w:abstractNumId w:val="54"/>
  </w:num>
  <w:num w:numId="17">
    <w:abstractNumId w:val="119"/>
  </w:num>
  <w:num w:numId="18">
    <w:abstractNumId w:val="71"/>
  </w:num>
  <w:num w:numId="19">
    <w:abstractNumId w:val="116"/>
  </w:num>
  <w:num w:numId="20">
    <w:abstractNumId w:val="19"/>
  </w:num>
  <w:num w:numId="21">
    <w:abstractNumId w:val="0"/>
  </w:num>
  <w:num w:numId="22">
    <w:abstractNumId w:val="45"/>
  </w:num>
  <w:num w:numId="23">
    <w:abstractNumId w:val="114"/>
  </w:num>
  <w:num w:numId="24">
    <w:abstractNumId w:val="15"/>
  </w:num>
  <w:num w:numId="25">
    <w:abstractNumId w:val="87"/>
  </w:num>
  <w:num w:numId="26">
    <w:abstractNumId w:val="61"/>
  </w:num>
  <w:num w:numId="27">
    <w:abstractNumId w:val="98"/>
  </w:num>
  <w:num w:numId="28">
    <w:abstractNumId w:val="90"/>
  </w:num>
  <w:num w:numId="29">
    <w:abstractNumId w:val="46"/>
  </w:num>
  <w:num w:numId="30">
    <w:abstractNumId w:val="94"/>
  </w:num>
  <w:num w:numId="31">
    <w:abstractNumId w:val="52"/>
  </w:num>
  <w:num w:numId="32">
    <w:abstractNumId w:val="1"/>
  </w:num>
  <w:num w:numId="33">
    <w:abstractNumId w:val="30"/>
  </w:num>
  <w:num w:numId="34">
    <w:abstractNumId w:val="125"/>
  </w:num>
  <w:num w:numId="35">
    <w:abstractNumId w:val="39"/>
  </w:num>
  <w:num w:numId="36">
    <w:abstractNumId w:val="17"/>
  </w:num>
  <w:num w:numId="37">
    <w:abstractNumId w:val="12"/>
  </w:num>
  <w:num w:numId="38">
    <w:abstractNumId w:val="95"/>
  </w:num>
  <w:num w:numId="39">
    <w:abstractNumId w:val="82"/>
  </w:num>
  <w:num w:numId="40">
    <w:abstractNumId w:val="74"/>
  </w:num>
  <w:num w:numId="41">
    <w:abstractNumId w:val="104"/>
  </w:num>
  <w:num w:numId="42">
    <w:abstractNumId w:val="59"/>
  </w:num>
  <w:num w:numId="43">
    <w:abstractNumId w:val="122"/>
  </w:num>
  <w:num w:numId="44">
    <w:abstractNumId w:val="107"/>
  </w:num>
  <w:num w:numId="45">
    <w:abstractNumId w:val="93"/>
  </w:num>
  <w:num w:numId="46">
    <w:abstractNumId w:val="7"/>
  </w:num>
  <w:num w:numId="47">
    <w:abstractNumId w:val="130"/>
  </w:num>
  <w:num w:numId="48">
    <w:abstractNumId w:val="8"/>
  </w:num>
  <w:num w:numId="49">
    <w:abstractNumId w:val="108"/>
  </w:num>
  <w:num w:numId="50">
    <w:abstractNumId w:val="42"/>
  </w:num>
  <w:num w:numId="51">
    <w:abstractNumId w:val="110"/>
  </w:num>
  <w:num w:numId="52">
    <w:abstractNumId w:val="76"/>
  </w:num>
  <w:num w:numId="53">
    <w:abstractNumId w:val="44"/>
  </w:num>
  <w:num w:numId="54">
    <w:abstractNumId w:val="14"/>
  </w:num>
  <w:num w:numId="55">
    <w:abstractNumId w:val="97"/>
  </w:num>
  <w:num w:numId="56">
    <w:abstractNumId w:val="40"/>
  </w:num>
  <w:num w:numId="57">
    <w:abstractNumId w:val="9"/>
  </w:num>
  <w:num w:numId="58">
    <w:abstractNumId w:val="102"/>
  </w:num>
  <w:num w:numId="59">
    <w:abstractNumId w:val="134"/>
  </w:num>
  <w:num w:numId="60">
    <w:abstractNumId w:val="73"/>
  </w:num>
  <w:num w:numId="61">
    <w:abstractNumId w:val="18"/>
  </w:num>
  <w:num w:numId="62">
    <w:abstractNumId w:val="123"/>
  </w:num>
  <w:num w:numId="63">
    <w:abstractNumId w:val="27"/>
  </w:num>
  <w:num w:numId="64">
    <w:abstractNumId w:val="2"/>
  </w:num>
  <w:num w:numId="65">
    <w:abstractNumId w:val="121"/>
  </w:num>
  <w:num w:numId="66">
    <w:abstractNumId w:val="38"/>
  </w:num>
  <w:num w:numId="67">
    <w:abstractNumId w:val="126"/>
  </w:num>
  <w:num w:numId="68">
    <w:abstractNumId w:val="78"/>
  </w:num>
  <w:num w:numId="69">
    <w:abstractNumId w:val="132"/>
  </w:num>
  <w:num w:numId="70">
    <w:abstractNumId w:val="113"/>
  </w:num>
  <w:num w:numId="71">
    <w:abstractNumId w:val="128"/>
  </w:num>
  <w:num w:numId="72">
    <w:abstractNumId w:val="109"/>
  </w:num>
  <w:num w:numId="73">
    <w:abstractNumId w:val="89"/>
  </w:num>
  <w:num w:numId="74">
    <w:abstractNumId w:val="37"/>
  </w:num>
  <w:num w:numId="75">
    <w:abstractNumId w:val="29"/>
  </w:num>
  <w:num w:numId="76">
    <w:abstractNumId w:val="111"/>
  </w:num>
  <w:num w:numId="77">
    <w:abstractNumId w:val="43"/>
  </w:num>
  <w:num w:numId="78">
    <w:abstractNumId w:val="51"/>
  </w:num>
  <w:num w:numId="79">
    <w:abstractNumId w:val="32"/>
  </w:num>
  <w:num w:numId="80">
    <w:abstractNumId w:val="6"/>
  </w:num>
  <w:num w:numId="81">
    <w:abstractNumId w:val="127"/>
  </w:num>
  <w:num w:numId="82">
    <w:abstractNumId w:val="133"/>
  </w:num>
  <w:num w:numId="83">
    <w:abstractNumId w:val="105"/>
  </w:num>
  <w:num w:numId="84">
    <w:abstractNumId w:val="25"/>
  </w:num>
  <w:num w:numId="85">
    <w:abstractNumId w:val="35"/>
  </w:num>
  <w:num w:numId="86">
    <w:abstractNumId w:val="117"/>
  </w:num>
  <w:num w:numId="87">
    <w:abstractNumId w:val="10"/>
  </w:num>
  <w:num w:numId="88">
    <w:abstractNumId w:val="68"/>
  </w:num>
  <w:num w:numId="89">
    <w:abstractNumId w:val="124"/>
  </w:num>
  <w:num w:numId="90">
    <w:abstractNumId w:val="47"/>
  </w:num>
  <w:num w:numId="91">
    <w:abstractNumId w:val="135"/>
  </w:num>
  <w:num w:numId="92">
    <w:abstractNumId w:val="84"/>
  </w:num>
  <w:num w:numId="93">
    <w:abstractNumId w:val="101"/>
  </w:num>
  <w:num w:numId="94">
    <w:abstractNumId w:val="28"/>
  </w:num>
  <w:num w:numId="95">
    <w:abstractNumId w:val="77"/>
  </w:num>
  <w:num w:numId="96">
    <w:abstractNumId w:val="66"/>
  </w:num>
  <w:num w:numId="97">
    <w:abstractNumId w:val="115"/>
  </w:num>
  <w:num w:numId="98">
    <w:abstractNumId w:val="129"/>
  </w:num>
  <w:num w:numId="99">
    <w:abstractNumId w:val="26"/>
  </w:num>
  <w:num w:numId="100">
    <w:abstractNumId w:val="13"/>
  </w:num>
  <w:num w:numId="101">
    <w:abstractNumId w:val="81"/>
  </w:num>
  <w:num w:numId="102">
    <w:abstractNumId w:val="55"/>
  </w:num>
  <w:num w:numId="103">
    <w:abstractNumId w:val="36"/>
  </w:num>
  <w:num w:numId="104">
    <w:abstractNumId w:val="64"/>
  </w:num>
  <w:num w:numId="105">
    <w:abstractNumId w:val="56"/>
  </w:num>
  <w:num w:numId="106">
    <w:abstractNumId w:val="11"/>
  </w:num>
  <w:num w:numId="107">
    <w:abstractNumId w:val="33"/>
  </w:num>
  <w:num w:numId="108">
    <w:abstractNumId w:val="75"/>
  </w:num>
  <w:num w:numId="109">
    <w:abstractNumId w:val="21"/>
  </w:num>
  <w:num w:numId="110">
    <w:abstractNumId w:val="92"/>
  </w:num>
  <w:num w:numId="111">
    <w:abstractNumId w:val="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2">
    <w:abstractNumId w:val="9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3">
    <w:abstractNumId w:val="1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4">
    <w:abstractNumId w:val="57"/>
  </w:num>
  <w:num w:numId="115">
    <w:abstractNumId w:val="24"/>
  </w:num>
  <w:num w:numId="116">
    <w:abstractNumId w:val="8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7">
    <w:abstractNumId w:val="1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8">
    <w:abstractNumId w:val="6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9">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0">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1">
    <w:abstractNumId w:val="9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2">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3">
    <w:abstractNumId w:val="60"/>
  </w:num>
  <w:num w:numId="124">
    <w:abstractNumId w:val="83"/>
  </w:num>
  <w:num w:numId="125">
    <w:abstractNumId w:val="72"/>
  </w:num>
  <w:num w:numId="126">
    <w:abstractNumId w:val="67"/>
  </w:num>
  <w:num w:numId="127">
    <w:abstractNumId w:val="23"/>
  </w:num>
  <w:num w:numId="128">
    <w:abstractNumId w:val="100"/>
  </w:num>
  <w:num w:numId="129">
    <w:abstractNumId w:val="63"/>
  </w:num>
  <w:num w:numId="130">
    <w:abstractNumId w:val="48"/>
  </w:num>
  <w:num w:numId="131">
    <w:abstractNumId w:val="31"/>
  </w:num>
  <w:num w:numId="132">
    <w:abstractNumId w:val="103"/>
  </w:num>
  <w:num w:numId="133">
    <w:abstractNumId w:val="4"/>
  </w:num>
  <w:num w:numId="134">
    <w:abstractNumId w:val="65"/>
  </w:num>
  <w:num w:numId="135">
    <w:abstractNumId w:val="118"/>
  </w:num>
  <w:num w:numId="136">
    <w:abstractNumId w:val="58"/>
  </w:num>
  <w:num w:numId="137">
    <w:abstractNumId w:val="3"/>
  </w:num>
  <w:num w:numId="138">
    <w:abstractNumId w:val="49"/>
  </w:num>
  <w:numIdMacAtCleanup w:val="13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5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formatting="1" w:enforcement="0"/>
  <w:defaultTabStop w:val="720"/>
  <w:characterSpacingControl w:val="doNotCompress"/>
  <w:hdrShapeDefaults>
    <o:shapedefaults v:ext="edit" spidmax="5734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95E6D"/>
    <w:rsid w:val="00000351"/>
    <w:rsid w:val="00004B5C"/>
    <w:rsid w:val="00006B3B"/>
    <w:rsid w:val="000117A4"/>
    <w:rsid w:val="00017BC5"/>
    <w:rsid w:val="00020375"/>
    <w:rsid w:val="0002119A"/>
    <w:rsid w:val="00021559"/>
    <w:rsid w:val="000223E0"/>
    <w:rsid w:val="000302AB"/>
    <w:rsid w:val="00030715"/>
    <w:rsid w:val="00040A52"/>
    <w:rsid w:val="000472AF"/>
    <w:rsid w:val="0005022F"/>
    <w:rsid w:val="00050FBE"/>
    <w:rsid w:val="00051325"/>
    <w:rsid w:val="00054BE0"/>
    <w:rsid w:val="000565F0"/>
    <w:rsid w:val="000575B7"/>
    <w:rsid w:val="00060DE6"/>
    <w:rsid w:val="00061DE9"/>
    <w:rsid w:val="00070B54"/>
    <w:rsid w:val="0007103C"/>
    <w:rsid w:val="00071554"/>
    <w:rsid w:val="00071596"/>
    <w:rsid w:val="00076B18"/>
    <w:rsid w:val="00080AB7"/>
    <w:rsid w:val="00080B92"/>
    <w:rsid w:val="00083082"/>
    <w:rsid w:val="000846E3"/>
    <w:rsid w:val="00085EC1"/>
    <w:rsid w:val="00085FF9"/>
    <w:rsid w:val="00087721"/>
    <w:rsid w:val="000912AC"/>
    <w:rsid w:val="00096309"/>
    <w:rsid w:val="00097CA8"/>
    <w:rsid w:val="000A0495"/>
    <w:rsid w:val="000A0A5C"/>
    <w:rsid w:val="000A35E7"/>
    <w:rsid w:val="000A518F"/>
    <w:rsid w:val="000A5B7F"/>
    <w:rsid w:val="000A6B60"/>
    <w:rsid w:val="000B0028"/>
    <w:rsid w:val="000B2D0C"/>
    <w:rsid w:val="000B49D5"/>
    <w:rsid w:val="000B7E1A"/>
    <w:rsid w:val="000C1108"/>
    <w:rsid w:val="000C439E"/>
    <w:rsid w:val="000C49DE"/>
    <w:rsid w:val="000C5531"/>
    <w:rsid w:val="000C5F64"/>
    <w:rsid w:val="000C7342"/>
    <w:rsid w:val="000D0CD8"/>
    <w:rsid w:val="000D22A4"/>
    <w:rsid w:val="000D2D0F"/>
    <w:rsid w:val="000D34BB"/>
    <w:rsid w:val="000D34E9"/>
    <w:rsid w:val="000D4253"/>
    <w:rsid w:val="000D5DCF"/>
    <w:rsid w:val="000E0084"/>
    <w:rsid w:val="000E18E2"/>
    <w:rsid w:val="000E3C72"/>
    <w:rsid w:val="000E4A75"/>
    <w:rsid w:val="000E6F06"/>
    <w:rsid w:val="000E7B75"/>
    <w:rsid w:val="000F3936"/>
    <w:rsid w:val="00103472"/>
    <w:rsid w:val="00103F3E"/>
    <w:rsid w:val="00110306"/>
    <w:rsid w:val="001110D5"/>
    <w:rsid w:val="00111332"/>
    <w:rsid w:val="001127EE"/>
    <w:rsid w:val="00114020"/>
    <w:rsid w:val="0011474C"/>
    <w:rsid w:val="00115F13"/>
    <w:rsid w:val="00124497"/>
    <w:rsid w:val="00126A09"/>
    <w:rsid w:val="001274D9"/>
    <w:rsid w:val="001274F3"/>
    <w:rsid w:val="00132DB1"/>
    <w:rsid w:val="00135F61"/>
    <w:rsid w:val="0014142B"/>
    <w:rsid w:val="00141BAD"/>
    <w:rsid w:val="001436B3"/>
    <w:rsid w:val="00143FC9"/>
    <w:rsid w:val="00146C97"/>
    <w:rsid w:val="00147329"/>
    <w:rsid w:val="001478D8"/>
    <w:rsid w:val="00150E1E"/>
    <w:rsid w:val="00151782"/>
    <w:rsid w:val="0015428B"/>
    <w:rsid w:val="001562AC"/>
    <w:rsid w:val="00157274"/>
    <w:rsid w:val="001602F0"/>
    <w:rsid w:val="00162A38"/>
    <w:rsid w:val="00163D26"/>
    <w:rsid w:val="001654D6"/>
    <w:rsid w:val="001708B5"/>
    <w:rsid w:val="00171148"/>
    <w:rsid w:val="00172C1F"/>
    <w:rsid w:val="00172E02"/>
    <w:rsid w:val="001737DE"/>
    <w:rsid w:val="00175F18"/>
    <w:rsid w:val="001812AA"/>
    <w:rsid w:val="00181EB3"/>
    <w:rsid w:val="00182AEA"/>
    <w:rsid w:val="00183E1B"/>
    <w:rsid w:val="00184AFA"/>
    <w:rsid w:val="00186B07"/>
    <w:rsid w:val="00186B2D"/>
    <w:rsid w:val="001A0480"/>
    <w:rsid w:val="001B0296"/>
    <w:rsid w:val="001B2675"/>
    <w:rsid w:val="001B31FD"/>
    <w:rsid w:val="001B36D8"/>
    <w:rsid w:val="001B61A8"/>
    <w:rsid w:val="001C04FA"/>
    <w:rsid w:val="001C5FBA"/>
    <w:rsid w:val="001C7753"/>
    <w:rsid w:val="001D3176"/>
    <w:rsid w:val="001E023E"/>
    <w:rsid w:val="001E1BE4"/>
    <w:rsid w:val="001E1DF4"/>
    <w:rsid w:val="001E2D05"/>
    <w:rsid w:val="001E5E57"/>
    <w:rsid w:val="001E6422"/>
    <w:rsid w:val="001F1BDF"/>
    <w:rsid w:val="001F3B82"/>
    <w:rsid w:val="001F4A9E"/>
    <w:rsid w:val="001F6354"/>
    <w:rsid w:val="001F663E"/>
    <w:rsid w:val="001F71D4"/>
    <w:rsid w:val="001F75E6"/>
    <w:rsid w:val="001F7662"/>
    <w:rsid w:val="001F792C"/>
    <w:rsid w:val="002038DD"/>
    <w:rsid w:val="0020447B"/>
    <w:rsid w:val="0021040A"/>
    <w:rsid w:val="00212D58"/>
    <w:rsid w:val="00213305"/>
    <w:rsid w:val="00213975"/>
    <w:rsid w:val="002151F0"/>
    <w:rsid w:val="0022019F"/>
    <w:rsid w:val="00220416"/>
    <w:rsid w:val="00220D2A"/>
    <w:rsid w:val="002221C1"/>
    <w:rsid w:val="002228EC"/>
    <w:rsid w:val="00223792"/>
    <w:rsid w:val="002243A3"/>
    <w:rsid w:val="00226C81"/>
    <w:rsid w:val="00227DEB"/>
    <w:rsid w:val="00233D43"/>
    <w:rsid w:val="0024021F"/>
    <w:rsid w:val="002405F4"/>
    <w:rsid w:val="00240650"/>
    <w:rsid w:val="00241433"/>
    <w:rsid w:val="00243B61"/>
    <w:rsid w:val="0024401E"/>
    <w:rsid w:val="00244897"/>
    <w:rsid w:val="00244CBE"/>
    <w:rsid w:val="00245BD1"/>
    <w:rsid w:val="00246007"/>
    <w:rsid w:val="00250E29"/>
    <w:rsid w:val="002535A9"/>
    <w:rsid w:val="002556B3"/>
    <w:rsid w:val="0026025F"/>
    <w:rsid w:val="00261CDA"/>
    <w:rsid w:val="00264C4F"/>
    <w:rsid w:val="00265369"/>
    <w:rsid w:val="0027435D"/>
    <w:rsid w:val="00274A04"/>
    <w:rsid w:val="002752DF"/>
    <w:rsid w:val="00276CD2"/>
    <w:rsid w:val="002775C9"/>
    <w:rsid w:val="00277D9A"/>
    <w:rsid w:val="00284471"/>
    <w:rsid w:val="00285BD1"/>
    <w:rsid w:val="00287D39"/>
    <w:rsid w:val="002936F1"/>
    <w:rsid w:val="0029442F"/>
    <w:rsid w:val="002A325F"/>
    <w:rsid w:val="002A49D0"/>
    <w:rsid w:val="002A4FE4"/>
    <w:rsid w:val="002A679B"/>
    <w:rsid w:val="002A6E71"/>
    <w:rsid w:val="002B00AD"/>
    <w:rsid w:val="002B1CA2"/>
    <w:rsid w:val="002B1F33"/>
    <w:rsid w:val="002B2FF8"/>
    <w:rsid w:val="002B7916"/>
    <w:rsid w:val="002C0170"/>
    <w:rsid w:val="002C3870"/>
    <w:rsid w:val="002C6C2D"/>
    <w:rsid w:val="002D1C5F"/>
    <w:rsid w:val="002D2261"/>
    <w:rsid w:val="002D39D2"/>
    <w:rsid w:val="002D437A"/>
    <w:rsid w:val="002D61E2"/>
    <w:rsid w:val="002E0C3D"/>
    <w:rsid w:val="002E0EEF"/>
    <w:rsid w:val="002E3366"/>
    <w:rsid w:val="002E4D64"/>
    <w:rsid w:val="002E6286"/>
    <w:rsid w:val="002E6D65"/>
    <w:rsid w:val="002E7F87"/>
    <w:rsid w:val="002F1344"/>
    <w:rsid w:val="002F15B4"/>
    <w:rsid w:val="002F21F8"/>
    <w:rsid w:val="002F61DE"/>
    <w:rsid w:val="002F6D7F"/>
    <w:rsid w:val="003038AD"/>
    <w:rsid w:val="0030497B"/>
    <w:rsid w:val="00307226"/>
    <w:rsid w:val="003130E6"/>
    <w:rsid w:val="00317D35"/>
    <w:rsid w:val="00317DDB"/>
    <w:rsid w:val="00321CFA"/>
    <w:rsid w:val="00325927"/>
    <w:rsid w:val="0032643E"/>
    <w:rsid w:val="003318AA"/>
    <w:rsid w:val="00347CCB"/>
    <w:rsid w:val="003527F0"/>
    <w:rsid w:val="00354E51"/>
    <w:rsid w:val="00357EEB"/>
    <w:rsid w:val="00360101"/>
    <w:rsid w:val="003609A3"/>
    <w:rsid w:val="00361115"/>
    <w:rsid w:val="0036175B"/>
    <w:rsid w:val="00363FDF"/>
    <w:rsid w:val="003656C8"/>
    <w:rsid w:val="003706C0"/>
    <w:rsid w:val="00370752"/>
    <w:rsid w:val="00370A3C"/>
    <w:rsid w:val="00371F44"/>
    <w:rsid w:val="003723E3"/>
    <w:rsid w:val="003742CA"/>
    <w:rsid w:val="00375729"/>
    <w:rsid w:val="0037647C"/>
    <w:rsid w:val="0038137D"/>
    <w:rsid w:val="00382DF4"/>
    <w:rsid w:val="00390E61"/>
    <w:rsid w:val="00397B75"/>
    <w:rsid w:val="003A02A8"/>
    <w:rsid w:val="003A1C8E"/>
    <w:rsid w:val="003A3118"/>
    <w:rsid w:val="003A3974"/>
    <w:rsid w:val="003A46E8"/>
    <w:rsid w:val="003A52E8"/>
    <w:rsid w:val="003A699C"/>
    <w:rsid w:val="003B0335"/>
    <w:rsid w:val="003B2036"/>
    <w:rsid w:val="003B2BFF"/>
    <w:rsid w:val="003B37A7"/>
    <w:rsid w:val="003B4EAA"/>
    <w:rsid w:val="003B517D"/>
    <w:rsid w:val="003B62B8"/>
    <w:rsid w:val="003B6554"/>
    <w:rsid w:val="003B6DC5"/>
    <w:rsid w:val="003B7668"/>
    <w:rsid w:val="003B7675"/>
    <w:rsid w:val="003C078D"/>
    <w:rsid w:val="003C0DA6"/>
    <w:rsid w:val="003C1BB3"/>
    <w:rsid w:val="003C3C69"/>
    <w:rsid w:val="003C6B93"/>
    <w:rsid w:val="003D0764"/>
    <w:rsid w:val="003D1146"/>
    <w:rsid w:val="003D1677"/>
    <w:rsid w:val="003D3076"/>
    <w:rsid w:val="003E1777"/>
    <w:rsid w:val="003E1B59"/>
    <w:rsid w:val="003E252A"/>
    <w:rsid w:val="003E4DD2"/>
    <w:rsid w:val="003E57F2"/>
    <w:rsid w:val="003E648C"/>
    <w:rsid w:val="003F1A2D"/>
    <w:rsid w:val="003F2456"/>
    <w:rsid w:val="003F3CD7"/>
    <w:rsid w:val="003F4196"/>
    <w:rsid w:val="00402A1A"/>
    <w:rsid w:val="00402D88"/>
    <w:rsid w:val="0040417D"/>
    <w:rsid w:val="0040602D"/>
    <w:rsid w:val="0041193B"/>
    <w:rsid w:val="0041386E"/>
    <w:rsid w:val="00413CAC"/>
    <w:rsid w:val="0041405E"/>
    <w:rsid w:val="00414429"/>
    <w:rsid w:val="004204DE"/>
    <w:rsid w:val="00420DC6"/>
    <w:rsid w:val="0042143A"/>
    <w:rsid w:val="00423A47"/>
    <w:rsid w:val="004245FF"/>
    <w:rsid w:val="004251AB"/>
    <w:rsid w:val="0042548E"/>
    <w:rsid w:val="004316A2"/>
    <w:rsid w:val="00431889"/>
    <w:rsid w:val="0043375B"/>
    <w:rsid w:val="00441FC9"/>
    <w:rsid w:val="0044253A"/>
    <w:rsid w:val="00447167"/>
    <w:rsid w:val="00451CB8"/>
    <w:rsid w:val="004531FB"/>
    <w:rsid w:val="0045498D"/>
    <w:rsid w:val="00457C38"/>
    <w:rsid w:val="00462791"/>
    <w:rsid w:val="004642C4"/>
    <w:rsid w:val="0046620C"/>
    <w:rsid w:val="0046753D"/>
    <w:rsid w:val="00470919"/>
    <w:rsid w:val="00471D30"/>
    <w:rsid w:val="00473774"/>
    <w:rsid w:val="004820CC"/>
    <w:rsid w:val="004821F2"/>
    <w:rsid w:val="004837EA"/>
    <w:rsid w:val="00485318"/>
    <w:rsid w:val="00485B5B"/>
    <w:rsid w:val="004870C1"/>
    <w:rsid w:val="00492797"/>
    <w:rsid w:val="00492E52"/>
    <w:rsid w:val="00493DBE"/>
    <w:rsid w:val="004973DA"/>
    <w:rsid w:val="0049740F"/>
    <w:rsid w:val="004A094E"/>
    <w:rsid w:val="004A234B"/>
    <w:rsid w:val="004A414E"/>
    <w:rsid w:val="004A53EC"/>
    <w:rsid w:val="004A5B50"/>
    <w:rsid w:val="004A6812"/>
    <w:rsid w:val="004A6969"/>
    <w:rsid w:val="004A6A4A"/>
    <w:rsid w:val="004B1FF6"/>
    <w:rsid w:val="004B20E1"/>
    <w:rsid w:val="004B41CD"/>
    <w:rsid w:val="004B723E"/>
    <w:rsid w:val="004C0DA6"/>
    <w:rsid w:val="004C41F0"/>
    <w:rsid w:val="004C51EE"/>
    <w:rsid w:val="004C59EB"/>
    <w:rsid w:val="004D1089"/>
    <w:rsid w:val="004D1133"/>
    <w:rsid w:val="004D1178"/>
    <w:rsid w:val="004D1C6B"/>
    <w:rsid w:val="004D2020"/>
    <w:rsid w:val="004D2EE9"/>
    <w:rsid w:val="004D310F"/>
    <w:rsid w:val="004F04CA"/>
    <w:rsid w:val="004F232F"/>
    <w:rsid w:val="004F3E6A"/>
    <w:rsid w:val="005004D4"/>
    <w:rsid w:val="005036A7"/>
    <w:rsid w:val="005047D6"/>
    <w:rsid w:val="00506D40"/>
    <w:rsid w:val="00511F14"/>
    <w:rsid w:val="005121B9"/>
    <w:rsid w:val="0051244D"/>
    <w:rsid w:val="00513D06"/>
    <w:rsid w:val="00514C0D"/>
    <w:rsid w:val="00516719"/>
    <w:rsid w:val="005214EF"/>
    <w:rsid w:val="005259FD"/>
    <w:rsid w:val="00525CAE"/>
    <w:rsid w:val="00525DF1"/>
    <w:rsid w:val="00527EDA"/>
    <w:rsid w:val="00530238"/>
    <w:rsid w:val="0053171C"/>
    <w:rsid w:val="00531A5D"/>
    <w:rsid w:val="00532B1C"/>
    <w:rsid w:val="00533355"/>
    <w:rsid w:val="00533828"/>
    <w:rsid w:val="00541029"/>
    <w:rsid w:val="00541243"/>
    <w:rsid w:val="00551904"/>
    <w:rsid w:val="00552364"/>
    <w:rsid w:val="005538FF"/>
    <w:rsid w:val="0055423A"/>
    <w:rsid w:val="005635F2"/>
    <w:rsid w:val="00565A09"/>
    <w:rsid w:val="005660A7"/>
    <w:rsid w:val="005665F6"/>
    <w:rsid w:val="005709CE"/>
    <w:rsid w:val="00571599"/>
    <w:rsid w:val="00571D28"/>
    <w:rsid w:val="005739CC"/>
    <w:rsid w:val="00573A2C"/>
    <w:rsid w:val="005745DD"/>
    <w:rsid w:val="00582957"/>
    <w:rsid w:val="00583892"/>
    <w:rsid w:val="00585225"/>
    <w:rsid w:val="005869C5"/>
    <w:rsid w:val="0058772A"/>
    <w:rsid w:val="005901C8"/>
    <w:rsid w:val="00591B46"/>
    <w:rsid w:val="00591C70"/>
    <w:rsid w:val="00592F03"/>
    <w:rsid w:val="005A11F6"/>
    <w:rsid w:val="005A3325"/>
    <w:rsid w:val="005A3FEF"/>
    <w:rsid w:val="005A6DA5"/>
    <w:rsid w:val="005A706D"/>
    <w:rsid w:val="005B0462"/>
    <w:rsid w:val="005B0CC1"/>
    <w:rsid w:val="005B0DB5"/>
    <w:rsid w:val="005B33BE"/>
    <w:rsid w:val="005B3745"/>
    <w:rsid w:val="005B531B"/>
    <w:rsid w:val="005C3500"/>
    <w:rsid w:val="005C5548"/>
    <w:rsid w:val="005D5AE1"/>
    <w:rsid w:val="005E02F9"/>
    <w:rsid w:val="005E6D92"/>
    <w:rsid w:val="005F029C"/>
    <w:rsid w:val="005F3D97"/>
    <w:rsid w:val="005F7357"/>
    <w:rsid w:val="005F79CF"/>
    <w:rsid w:val="00600614"/>
    <w:rsid w:val="006010B5"/>
    <w:rsid w:val="00603823"/>
    <w:rsid w:val="00603976"/>
    <w:rsid w:val="006039D6"/>
    <w:rsid w:val="006041D0"/>
    <w:rsid w:val="00605BE5"/>
    <w:rsid w:val="00605F2B"/>
    <w:rsid w:val="0060702C"/>
    <w:rsid w:val="006105C9"/>
    <w:rsid w:val="0061064B"/>
    <w:rsid w:val="00613505"/>
    <w:rsid w:val="006144AF"/>
    <w:rsid w:val="00614661"/>
    <w:rsid w:val="0061566B"/>
    <w:rsid w:val="00616EBE"/>
    <w:rsid w:val="00617D47"/>
    <w:rsid w:val="00620538"/>
    <w:rsid w:val="0062058D"/>
    <w:rsid w:val="006220A0"/>
    <w:rsid w:val="00627C41"/>
    <w:rsid w:val="00630658"/>
    <w:rsid w:val="00630F04"/>
    <w:rsid w:val="006311D3"/>
    <w:rsid w:val="0063156C"/>
    <w:rsid w:val="00632DD9"/>
    <w:rsid w:val="0063408F"/>
    <w:rsid w:val="006344CB"/>
    <w:rsid w:val="00634B27"/>
    <w:rsid w:val="00636F73"/>
    <w:rsid w:val="006371A3"/>
    <w:rsid w:val="00637267"/>
    <w:rsid w:val="00637412"/>
    <w:rsid w:val="0064029B"/>
    <w:rsid w:val="00642A55"/>
    <w:rsid w:val="00653783"/>
    <w:rsid w:val="00653F7D"/>
    <w:rsid w:val="00655102"/>
    <w:rsid w:val="006561AD"/>
    <w:rsid w:val="006569E6"/>
    <w:rsid w:val="0066023E"/>
    <w:rsid w:val="00660EA5"/>
    <w:rsid w:val="00661AE9"/>
    <w:rsid w:val="00663631"/>
    <w:rsid w:val="00663F13"/>
    <w:rsid w:val="00671342"/>
    <w:rsid w:val="006728CE"/>
    <w:rsid w:val="006742B9"/>
    <w:rsid w:val="0068159F"/>
    <w:rsid w:val="006834B2"/>
    <w:rsid w:val="0068523A"/>
    <w:rsid w:val="006865F8"/>
    <w:rsid w:val="006879D7"/>
    <w:rsid w:val="00687B56"/>
    <w:rsid w:val="006910A9"/>
    <w:rsid w:val="00695C60"/>
    <w:rsid w:val="006A2E0D"/>
    <w:rsid w:val="006A5DD7"/>
    <w:rsid w:val="006A69A6"/>
    <w:rsid w:val="006A716B"/>
    <w:rsid w:val="006B123C"/>
    <w:rsid w:val="006B16A1"/>
    <w:rsid w:val="006B24D1"/>
    <w:rsid w:val="006B44FA"/>
    <w:rsid w:val="006B45FE"/>
    <w:rsid w:val="006B47E9"/>
    <w:rsid w:val="006B693E"/>
    <w:rsid w:val="006B7012"/>
    <w:rsid w:val="006B74B8"/>
    <w:rsid w:val="006C2E1B"/>
    <w:rsid w:val="006C4C2C"/>
    <w:rsid w:val="006D1595"/>
    <w:rsid w:val="006D438A"/>
    <w:rsid w:val="006E0F7A"/>
    <w:rsid w:val="006E18E2"/>
    <w:rsid w:val="006E192E"/>
    <w:rsid w:val="006E2812"/>
    <w:rsid w:val="006E64BD"/>
    <w:rsid w:val="006F0061"/>
    <w:rsid w:val="006F3C01"/>
    <w:rsid w:val="006F4429"/>
    <w:rsid w:val="006F5230"/>
    <w:rsid w:val="006F5720"/>
    <w:rsid w:val="006F7422"/>
    <w:rsid w:val="006F7803"/>
    <w:rsid w:val="007008DB"/>
    <w:rsid w:val="00701F14"/>
    <w:rsid w:val="00702221"/>
    <w:rsid w:val="007039AC"/>
    <w:rsid w:val="0070539D"/>
    <w:rsid w:val="00705920"/>
    <w:rsid w:val="00706041"/>
    <w:rsid w:val="00706381"/>
    <w:rsid w:val="00710435"/>
    <w:rsid w:val="0071135D"/>
    <w:rsid w:val="00711FD5"/>
    <w:rsid w:val="0071377C"/>
    <w:rsid w:val="007155AF"/>
    <w:rsid w:val="00720CFE"/>
    <w:rsid w:val="00721F74"/>
    <w:rsid w:val="00722557"/>
    <w:rsid w:val="00722655"/>
    <w:rsid w:val="00730E41"/>
    <w:rsid w:val="00731492"/>
    <w:rsid w:val="007352AC"/>
    <w:rsid w:val="0074016D"/>
    <w:rsid w:val="00743537"/>
    <w:rsid w:val="007506C1"/>
    <w:rsid w:val="007524F7"/>
    <w:rsid w:val="00753207"/>
    <w:rsid w:val="00753536"/>
    <w:rsid w:val="0076115A"/>
    <w:rsid w:val="00761733"/>
    <w:rsid w:val="00761833"/>
    <w:rsid w:val="007623EE"/>
    <w:rsid w:val="00765AD2"/>
    <w:rsid w:val="00765E3E"/>
    <w:rsid w:val="00771018"/>
    <w:rsid w:val="00773906"/>
    <w:rsid w:val="00773CE7"/>
    <w:rsid w:val="007740A2"/>
    <w:rsid w:val="00780F01"/>
    <w:rsid w:val="007837FB"/>
    <w:rsid w:val="007870F2"/>
    <w:rsid w:val="00787F64"/>
    <w:rsid w:val="007917E4"/>
    <w:rsid w:val="00792477"/>
    <w:rsid w:val="00793090"/>
    <w:rsid w:val="007959FA"/>
    <w:rsid w:val="007A2E2E"/>
    <w:rsid w:val="007A4B47"/>
    <w:rsid w:val="007B15D1"/>
    <w:rsid w:val="007B41E5"/>
    <w:rsid w:val="007B4C6C"/>
    <w:rsid w:val="007B56F8"/>
    <w:rsid w:val="007B58F9"/>
    <w:rsid w:val="007C1680"/>
    <w:rsid w:val="007C2149"/>
    <w:rsid w:val="007C27DD"/>
    <w:rsid w:val="007C29D5"/>
    <w:rsid w:val="007C53A9"/>
    <w:rsid w:val="007C5688"/>
    <w:rsid w:val="007C5993"/>
    <w:rsid w:val="007C667F"/>
    <w:rsid w:val="007D10A1"/>
    <w:rsid w:val="007D1C4B"/>
    <w:rsid w:val="007D1E44"/>
    <w:rsid w:val="007D234A"/>
    <w:rsid w:val="007D28AB"/>
    <w:rsid w:val="007D626D"/>
    <w:rsid w:val="007E195C"/>
    <w:rsid w:val="007E2D4F"/>
    <w:rsid w:val="007E5BF3"/>
    <w:rsid w:val="007E601A"/>
    <w:rsid w:val="007E6793"/>
    <w:rsid w:val="007E7227"/>
    <w:rsid w:val="007E7419"/>
    <w:rsid w:val="007F1134"/>
    <w:rsid w:val="007F76A5"/>
    <w:rsid w:val="00804718"/>
    <w:rsid w:val="00804B7D"/>
    <w:rsid w:val="00805944"/>
    <w:rsid w:val="00805CC9"/>
    <w:rsid w:val="00810961"/>
    <w:rsid w:val="00814182"/>
    <w:rsid w:val="00820306"/>
    <w:rsid w:val="00822CC8"/>
    <w:rsid w:val="00823946"/>
    <w:rsid w:val="00823EF1"/>
    <w:rsid w:val="00827060"/>
    <w:rsid w:val="008276A5"/>
    <w:rsid w:val="00834404"/>
    <w:rsid w:val="00835615"/>
    <w:rsid w:val="00837A45"/>
    <w:rsid w:val="00837EDB"/>
    <w:rsid w:val="0084032C"/>
    <w:rsid w:val="0084048B"/>
    <w:rsid w:val="0084097B"/>
    <w:rsid w:val="00843496"/>
    <w:rsid w:val="00844A7C"/>
    <w:rsid w:val="008459E4"/>
    <w:rsid w:val="00845B5A"/>
    <w:rsid w:val="00855EC7"/>
    <w:rsid w:val="0086192F"/>
    <w:rsid w:val="00865F76"/>
    <w:rsid w:val="00866E49"/>
    <w:rsid w:val="00870BEE"/>
    <w:rsid w:val="008710C3"/>
    <w:rsid w:val="00871753"/>
    <w:rsid w:val="008750BB"/>
    <w:rsid w:val="00875C5A"/>
    <w:rsid w:val="00880605"/>
    <w:rsid w:val="008817D4"/>
    <w:rsid w:val="008820F3"/>
    <w:rsid w:val="00883622"/>
    <w:rsid w:val="008848B2"/>
    <w:rsid w:val="00890447"/>
    <w:rsid w:val="00891B00"/>
    <w:rsid w:val="00892617"/>
    <w:rsid w:val="0089283E"/>
    <w:rsid w:val="008974F5"/>
    <w:rsid w:val="008A0AD2"/>
    <w:rsid w:val="008A255F"/>
    <w:rsid w:val="008A50DB"/>
    <w:rsid w:val="008A5F3F"/>
    <w:rsid w:val="008A6695"/>
    <w:rsid w:val="008B0413"/>
    <w:rsid w:val="008B41CA"/>
    <w:rsid w:val="008B5289"/>
    <w:rsid w:val="008B6FD8"/>
    <w:rsid w:val="008C0646"/>
    <w:rsid w:val="008C2AD5"/>
    <w:rsid w:val="008C2E3D"/>
    <w:rsid w:val="008C48E2"/>
    <w:rsid w:val="008C5411"/>
    <w:rsid w:val="008C6F31"/>
    <w:rsid w:val="008D0F69"/>
    <w:rsid w:val="008D69DD"/>
    <w:rsid w:val="008E088C"/>
    <w:rsid w:val="008E10F7"/>
    <w:rsid w:val="008E6BC8"/>
    <w:rsid w:val="008F001C"/>
    <w:rsid w:val="008F2151"/>
    <w:rsid w:val="008F2492"/>
    <w:rsid w:val="008F3467"/>
    <w:rsid w:val="008F3711"/>
    <w:rsid w:val="008F5A9D"/>
    <w:rsid w:val="008F6DE6"/>
    <w:rsid w:val="009035BA"/>
    <w:rsid w:val="00905ECE"/>
    <w:rsid w:val="00906055"/>
    <w:rsid w:val="00907575"/>
    <w:rsid w:val="00913FE3"/>
    <w:rsid w:val="009140FE"/>
    <w:rsid w:val="00914EB7"/>
    <w:rsid w:val="00915736"/>
    <w:rsid w:val="00915B11"/>
    <w:rsid w:val="00915B2F"/>
    <w:rsid w:val="00915B30"/>
    <w:rsid w:val="00917FF2"/>
    <w:rsid w:val="009254F4"/>
    <w:rsid w:val="009279AE"/>
    <w:rsid w:val="00927F07"/>
    <w:rsid w:val="00932186"/>
    <w:rsid w:val="00933A9C"/>
    <w:rsid w:val="0093770C"/>
    <w:rsid w:val="009405DB"/>
    <w:rsid w:val="00942FD5"/>
    <w:rsid w:val="00945653"/>
    <w:rsid w:val="0094631E"/>
    <w:rsid w:val="009476C9"/>
    <w:rsid w:val="00950152"/>
    <w:rsid w:val="00951ADC"/>
    <w:rsid w:val="00951CD5"/>
    <w:rsid w:val="00952C7D"/>
    <w:rsid w:val="0095785A"/>
    <w:rsid w:val="009604AE"/>
    <w:rsid w:val="009609FF"/>
    <w:rsid w:val="00960AC3"/>
    <w:rsid w:val="00962479"/>
    <w:rsid w:val="00962991"/>
    <w:rsid w:val="00962B16"/>
    <w:rsid w:val="009631A9"/>
    <w:rsid w:val="0096339E"/>
    <w:rsid w:val="00964CB8"/>
    <w:rsid w:val="00976516"/>
    <w:rsid w:val="00982597"/>
    <w:rsid w:val="009828CA"/>
    <w:rsid w:val="0098372E"/>
    <w:rsid w:val="00987F3C"/>
    <w:rsid w:val="00990068"/>
    <w:rsid w:val="00991305"/>
    <w:rsid w:val="00992922"/>
    <w:rsid w:val="00994970"/>
    <w:rsid w:val="0099559F"/>
    <w:rsid w:val="0099606F"/>
    <w:rsid w:val="00996A45"/>
    <w:rsid w:val="00997049"/>
    <w:rsid w:val="009A0F32"/>
    <w:rsid w:val="009A4B55"/>
    <w:rsid w:val="009B5ED6"/>
    <w:rsid w:val="009B7DF7"/>
    <w:rsid w:val="009C04B7"/>
    <w:rsid w:val="009C129F"/>
    <w:rsid w:val="009C6074"/>
    <w:rsid w:val="009D03DD"/>
    <w:rsid w:val="009D0532"/>
    <w:rsid w:val="009D1B07"/>
    <w:rsid w:val="009D1D5A"/>
    <w:rsid w:val="009D37BA"/>
    <w:rsid w:val="009D613F"/>
    <w:rsid w:val="009E144D"/>
    <w:rsid w:val="009E2407"/>
    <w:rsid w:val="009E4CC3"/>
    <w:rsid w:val="009F0075"/>
    <w:rsid w:val="009F5D1B"/>
    <w:rsid w:val="00A00CF2"/>
    <w:rsid w:val="00A0345B"/>
    <w:rsid w:val="00A0708F"/>
    <w:rsid w:val="00A10314"/>
    <w:rsid w:val="00A11839"/>
    <w:rsid w:val="00A12304"/>
    <w:rsid w:val="00A1250E"/>
    <w:rsid w:val="00A12635"/>
    <w:rsid w:val="00A136EC"/>
    <w:rsid w:val="00A13BBF"/>
    <w:rsid w:val="00A16CAF"/>
    <w:rsid w:val="00A17229"/>
    <w:rsid w:val="00A2195C"/>
    <w:rsid w:val="00A22416"/>
    <w:rsid w:val="00A22754"/>
    <w:rsid w:val="00A24823"/>
    <w:rsid w:val="00A24CF5"/>
    <w:rsid w:val="00A24E18"/>
    <w:rsid w:val="00A252FC"/>
    <w:rsid w:val="00A265AE"/>
    <w:rsid w:val="00A27D54"/>
    <w:rsid w:val="00A30956"/>
    <w:rsid w:val="00A32118"/>
    <w:rsid w:val="00A33516"/>
    <w:rsid w:val="00A341AD"/>
    <w:rsid w:val="00A35C68"/>
    <w:rsid w:val="00A43F67"/>
    <w:rsid w:val="00A45BE9"/>
    <w:rsid w:val="00A501BF"/>
    <w:rsid w:val="00A51F5C"/>
    <w:rsid w:val="00A5312A"/>
    <w:rsid w:val="00A532D4"/>
    <w:rsid w:val="00A53CE5"/>
    <w:rsid w:val="00A540CA"/>
    <w:rsid w:val="00A5630E"/>
    <w:rsid w:val="00A56D8D"/>
    <w:rsid w:val="00A576E4"/>
    <w:rsid w:val="00A57F1A"/>
    <w:rsid w:val="00A6113C"/>
    <w:rsid w:val="00A65083"/>
    <w:rsid w:val="00A729AE"/>
    <w:rsid w:val="00A72F1B"/>
    <w:rsid w:val="00A73F68"/>
    <w:rsid w:val="00A74727"/>
    <w:rsid w:val="00A778D0"/>
    <w:rsid w:val="00A77CD0"/>
    <w:rsid w:val="00A8160B"/>
    <w:rsid w:val="00A82BEA"/>
    <w:rsid w:val="00A83459"/>
    <w:rsid w:val="00A85B21"/>
    <w:rsid w:val="00A86472"/>
    <w:rsid w:val="00A87888"/>
    <w:rsid w:val="00A912F3"/>
    <w:rsid w:val="00A916D5"/>
    <w:rsid w:val="00A9193B"/>
    <w:rsid w:val="00A921E2"/>
    <w:rsid w:val="00A92356"/>
    <w:rsid w:val="00A92D43"/>
    <w:rsid w:val="00A93BF1"/>
    <w:rsid w:val="00A93CD2"/>
    <w:rsid w:val="00A941AE"/>
    <w:rsid w:val="00A94367"/>
    <w:rsid w:val="00A9457D"/>
    <w:rsid w:val="00A95086"/>
    <w:rsid w:val="00A977D5"/>
    <w:rsid w:val="00AA71D0"/>
    <w:rsid w:val="00AA7EFE"/>
    <w:rsid w:val="00AB0CA3"/>
    <w:rsid w:val="00AB23B2"/>
    <w:rsid w:val="00AB4804"/>
    <w:rsid w:val="00AC2BF9"/>
    <w:rsid w:val="00AC2CF9"/>
    <w:rsid w:val="00AC3CCF"/>
    <w:rsid w:val="00AC436A"/>
    <w:rsid w:val="00AC6079"/>
    <w:rsid w:val="00AD07D0"/>
    <w:rsid w:val="00AD12BD"/>
    <w:rsid w:val="00AD2090"/>
    <w:rsid w:val="00AD50A6"/>
    <w:rsid w:val="00AD5C74"/>
    <w:rsid w:val="00AE30DB"/>
    <w:rsid w:val="00AE40BD"/>
    <w:rsid w:val="00AE52ED"/>
    <w:rsid w:val="00AE792A"/>
    <w:rsid w:val="00AF349F"/>
    <w:rsid w:val="00AF3D06"/>
    <w:rsid w:val="00AF4725"/>
    <w:rsid w:val="00AF6BDD"/>
    <w:rsid w:val="00B007CD"/>
    <w:rsid w:val="00B02192"/>
    <w:rsid w:val="00B03710"/>
    <w:rsid w:val="00B05F66"/>
    <w:rsid w:val="00B06288"/>
    <w:rsid w:val="00B1111E"/>
    <w:rsid w:val="00B118BD"/>
    <w:rsid w:val="00B12A3B"/>
    <w:rsid w:val="00B15434"/>
    <w:rsid w:val="00B1667A"/>
    <w:rsid w:val="00B16FC3"/>
    <w:rsid w:val="00B20DDD"/>
    <w:rsid w:val="00B23BED"/>
    <w:rsid w:val="00B23ED5"/>
    <w:rsid w:val="00B24292"/>
    <w:rsid w:val="00B25ABA"/>
    <w:rsid w:val="00B310AA"/>
    <w:rsid w:val="00B31880"/>
    <w:rsid w:val="00B33237"/>
    <w:rsid w:val="00B33281"/>
    <w:rsid w:val="00B40C75"/>
    <w:rsid w:val="00B47776"/>
    <w:rsid w:val="00B477E8"/>
    <w:rsid w:val="00B47D51"/>
    <w:rsid w:val="00B52F35"/>
    <w:rsid w:val="00B53885"/>
    <w:rsid w:val="00B604FB"/>
    <w:rsid w:val="00B62CBD"/>
    <w:rsid w:val="00B655B4"/>
    <w:rsid w:val="00B66E29"/>
    <w:rsid w:val="00B741F2"/>
    <w:rsid w:val="00B74277"/>
    <w:rsid w:val="00B75A63"/>
    <w:rsid w:val="00B76620"/>
    <w:rsid w:val="00B8174E"/>
    <w:rsid w:val="00B82012"/>
    <w:rsid w:val="00B83C2B"/>
    <w:rsid w:val="00B8690E"/>
    <w:rsid w:val="00B86B3D"/>
    <w:rsid w:val="00B87677"/>
    <w:rsid w:val="00B879E5"/>
    <w:rsid w:val="00B934F5"/>
    <w:rsid w:val="00B93D11"/>
    <w:rsid w:val="00B96268"/>
    <w:rsid w:val="00BA06F9"/>
    <w:rsid w:val="00BA0AA1"/>
    <w:rsid w:val="00BA66F3"/>
    <w:rsid w:val="00BA762F"/>
    <w:rsid w:val="00BA7B57"/>
    <w:rsid w:val="00BB0791"/>
    <w:rsid w:val="00BB0CDF"/>
    <w:rsid w:val="00BB2284"/>
    <w:rsid w:val="00BB24CB"/>
    <w:rsid w:val="00BB24CC"/>
    <w:rsid w:val="00BB25BA"/>
    <w:rsid w:val="00BB29AB"/>
    <w:rsid w:val="00BC3A2C"/>
    <w:rsid w:val="00BC4026"/>
    <w:rsid w:val="00BD3919"/>
    <w:rsid w:val="00BD529D"/>
    <w:rsid w:val="00BD6589"/>
    <w:rsid w:val="00BD6B10"/>
    <w:rsid w:val="00BD7512"/>
    <w:rsid w:val="00BD7A3B"/>
    <w:rsid w:val="00BE214B"/>
    <w:rsid w:val="00BE2BA8"/>
    <w:rsid w:val="00BE3947"/>
    <w:rsid w:val="00BE4967"/>
    <w:rsid w:val="00BE6E64"/>
    <w:rsid w:val="00BE7324"/>
    <w:rsid w:val="00BE7E5E"/>
    <w:rsid w:val="00BF0FBD"/>
    <w:rsid w:val="00BF1066"/>
    <w:rsid w:val="00BF2C52"/>
    <w:rsid w:val="00BF76F7"/>
    <w:rsid w:val="00BF788C"/>
    <w:rsid w:val="00BF7C45"/>
    <w:rsid w:val="00C014E1"/>
    <w:rsid w:val="00C01B12"/>
    <w:rsid w:val="00C02C72"/>
    <w:rsid w:val="00C0325C"/>
    <w:rsid w:val="00C07470"/>
    <w:rsid w:val="00C14978"/>
    <w:rsid w:val="00C155AD"/>
    <w:rsid w:val="00C16A0D"/>
    <w:rsid w:val="00C16CA8"/>
    <w:rsid w:val="00C20EEA"/>
    <w:rsid w:val="00C21235"/>
    <w:rsid w:val="00C258DF"/>
    <w:rsid w:val="00C351CC"/>
    <w:rsid w:val="00C355A3"/>
    <w:rsid w:val="00C36F4A"/>
    <w:rsid w:val="00C4611D"/>
    <w:rsid w:val="00C52618"/>
    <w:rsid w:val="00C52EAE"/>
    <w:rsid w:val="00C53158"/>
    <w:rsid w:val="00C545C7"/>
    <w:rsid w:val="00C554FD"/>
    <w:rsid w:val="00C57728"/>
    <w:rsid w:val="00C622F1"/>
    <w:rsid w:val="00C632CD"/>
    <w:rsid w:val="00C638F9"/>
    <w:rsid w:val="00C659B5"/>
    <w:rsid w:val="00C65BF4"/>
    <w:rsid w:val="00C66877"/>
    <w:rsid w:val="00C733B4"/>
    <w:rsid w:val="00C73A36"/>
    <w:rsid w:val="00C75B01"/>
    <w:rsid w:val="00C75EEC"/>
    <w:rsid w:val="00C76455"/>
    <w:rsid w:val="00C7669A"/>
    <w:rsid w:val="00C778BE"/>
    <w:rsid w:val="00C813AB"/>
    <w:rsid w:val="00C8288E"/>
    <w:rsid w:val="00C8560E"/>
    <w:rsid w:val="00C864F2"/>
    <w:rsid w:val="00C87DEF"/>
    <w:rsid w:val="00C903D0"/>
    <w:rsid w:val="00C90A05"/>
    <w:rsid w:val="00C912EC"/>
    <w:rsid w:val="00C91C5C"/>
    <w:rsid w:val="00C9371F"/>
    <w:rsid w:val="00C943C5"/>
    <w:rsid w:val="00C94822"/>
    <w:rsid w:val="00C9573C"/>
    <w:rsid w:val="00C95E12"/>
    <w:rsid w:val="00C95E6D"/>
    <w:rsid w:val="00C973C6"/>
    <w:rsid w:val="00C973EE"/>
    <w:rsid w:val="00CA1483"/>
    <w:rsid w:val="00CA14FB"/>
    <w:rsid w:val="00CA44AB"/>
    <w:rsid w:val="00CB0DAA"/>
    <w:rsid w:val="00CB6B37"/>
    <w:rsid w:val="00CC0EB1"/>
    <w:rsid w:val="00CC1E2D"/>
    <w:rsid w:val="00CC2A32"/>
    <w:rsid w:val="00CC4B36"/>
    <w:rsid w:val="00CC4BF3"/>
    <w:rsid w:val="00CC7117"/>
    <w:rsid w:val="00CD0897"/>
    <w:rsid w:val="00CD0FEA"/>
    <w:rsid w:val="00CD10E7"/>
    <w:rsid w:val="00CD2BBA"/>
    <w:rsid w:val="00CD6180"/>
    <w:rsid w:val="00CD713F"/>
    <w:rsid w:val="00CD765F"/>
    <w:rsid w:val="00CF34EB"/>
    <w:rsid w:val="00CF45A6"/>
    <w:rsid w:val="00CF5A17"/>
    <w:rsid w:val="00D001C8"/>
    <w:rsid w:val="00D0176F"/>
    <w:rsid w:val="00D028E5"/>
    <w:rsid w:val="00D038DE"/>
    <w:rsid w:val="00D04E2D"/>
    <w:rsid w:val="00D0710E"/>
    <w:rsid w:val="00D07701"/>
    <w:rsid w:val="00D122E6"/>
    <w:rsid w:val="00D177BD"/>
    <w:rsid w:val="00D21774"/>
    <w:rsid w:val="00D22A3A"/>
    <w:rsid w:val="00D2637C"/>
    <w:rsid w:val="00D2710D"/>
    <w:rsid w:val="00D31800"/>
    <w:rsid w:val="00D33789"/>
    <w:rsid w:val="00D33F28"/>
    <w:rsid w:val="00D34A49"/>
    <w:rsid w:val="00D37B36"/>
    <w:rsid w:val="00D415DD"/>
    <w:rsid w:val="00D416F2"/>
    <w:rsid w:val="00D433B6"/>
    <w:rsid w:val="00D4349C"/>
    <w:rsid w:val="00D4477E"/>
    <w:rsid w:val="00D45332"/>
    <w:rsid w:val="00D47FDC"/>
    <w:rsid w:val="00D51F01"/>
    <w:rsid w:val="00D521CD"/>
    <w:rsid w:val="00D53253"/>
    <w:rsid w:val="00D5606C"/>
    <w:rsid w:val="00D566C9"/>
    <w:rsid w:val="00D615BA"/>
    <w:rsid w:val="00D6398D"/>
    <w:rsid w:val="00D639EF"/>
    <w:rsid w:val="00D63ADF"/>
    <w:rsid w:val="00D65931"/>
    <w:rsid w:val="00D65AEF"/>
    <w:rsid w:val="00D66492"/>
    <w:rsid w:val="00D66F5B"/>
    <w:rsid w:val="00D70271"/>
    <w:rsid w:val="00D71E69"/>
    <w:rsid w:val="00D74432"/>
    <w:rsid w:val="00D75F38"/>
    <w:rsid w:val="00D770B1"/>
    <w:rsid w:val="00D80140"/>
    <w:rsid w:val="00D81B3F"/>
    <w:rsid w:val="00D84F3C"/>
    <w:rsid w:val="00D863F7"/>
    <w:rsid w:val="00D864F2"/>
    <w:rsid w:val="00D86BF0"/>
    <w:rsid w:val="00D91394"/>
    <w:rsid w:val="00D91CD3"/>
    <w:rsid w:val="00D91F6D"/>
    <w:rsid w:val="00D96A84"/>
    <w:rsid w:val="00D97494"/>
    <w:rsid w:val="00D97A85"/>
    <w:rsid w:val="00DA1441"/>
    <w:rsid w:val="00DA2D1D"/>
    <w:rsid w:val="00DA3BD3"/>
    <w:rsid w:val="00DA613C"/>
    <w:rsid w:val="00DA6B2C"/>
    <w:rsid w:val="00DA6D7F"/>
    <w:rsid w:val="00DA7426"/>
    <w:rsid w:val="00DA7CC9"/>
    <w:rsid w:val="00DB597A"/>
    <w:rsid w:val="00DC3242"/>
    <w:rsid w:val="00DC377B"/>
    <w:rsid w:val="00DC5409"/>
    <w:rsid w:val="00DC6182"/>
    <w:rsid w:val="00DD2E0B"/>
    <w:rsid w:val="00DD5BAA"/>
    <w:rsid w:val="00DD6A72"/>
    <w:rsid w:val="00DD799D"/>
    <w:rsid w:val="00DE27F2"/>
    <w:rsid w:val="00DE4F76"/>
    <w:rsid w:val="00DE6867"/>
    <w:rsid w:val="00DE7152"/>
    <w:rsid w:val="00DE77CC"/>
    <w:rsid w:val="00DF27F5"/>
    <w:rsid w:val="00DF2B6D"/>
    <w:rsid w:val="00E03CD8"/>
    <w:rsid w:val="00E04AE4"/>
    <w:rsid w:val="00E04AF0"/>
    <w:rsid w:val="00E07D22"/>
    <w:rsid w:val="00E10B6E"/>
    <w:rsid w:val="00E1496B"/>
    <w:rsid w:val="00E16FD0"/>
    <w:rsid w:val="00E17C92"/>
    <w:rsid w:val="00E214EF"/>
    <w:rsid w:val="00E22BB5"/>
    <w:rsid w:val="00E23D44"/>
    <w:rsid w:val="00E25198"/>
    <w:rsid w:val="00E2541F"/>
    <w:rsid w:val="00E30EFC"/>
    <w:rsid w:val="00E3394D"/>
    <w:rsid w:val="00E3401D"/>
    <w:rsid w:val="00E345D4"/>
    <w:rsid w:val="00E34FAB"/>
    <w:rsid w:val="00E36A15"/>
    <w:rsid w:val="00E3729B"/>
    <w:rsid w:val="00E37B60"/>
    <w:rsid w:val="00E37C67"/>
    <w:rsid w:val="00E406AC"/>
    <w:rsid w:val="00E4400A"/>
    <w:rsid w:val="00E4655F"/>
    <w:rsid w:val="00E504A4"/>
    <w:rsid w:val="00E50809"/>
    <w:rsid w:val="00E52E2C"/>
    <w:rsid w:val="00E53098"/>
    <w:rsid w:val="00E530DB"/>
    <w:rsid w:val="00E5424B"/>
    <w:rsid w:val="00E56EFE"/>
    <w:rsid w:val="00E570B4"/>
    <w:rsid w:val="00E60B10"/>
    <w:rsid w:val="00E6223B"/>
    <w:rsid w:val="00E6247A"/>
    <w:rsid w:val="00E636A1"/>
    <w:rsid w:val="00E63ADD"/>
    <w:rsid w:val="00E66005"/>
    <w:rsid w:val="00E71FD8"/>
    <w:rsid w:val="00E7258D"/>
    <w:rsid w:val="00E75652"/>
    <w:rsid w:val="00E756C8"/>
    <w:rsid w:val="00E80E7E"/>
    <w:rsid w:val="00E821BD"/>
    <w:rsid w:val="00E82CC1"/>
    <w:rsid w:val="00E84547"/>
    <w:rsid w:val="00E85A01"/>
    <w:rsid w:val="00E85FE4"/>
    <w:rsid w:val="00E8719C"/>
    <w:rsid w:val="00E87AFD"/>
    <w:rsid w:val="00E87E61"/>
    <w:rsid w:val="00E90DC2"/>
    <w:rsid w:val="00E91931"/>
    <w:rsid w:val="00E919A4"/>
    <w:rsid w:val="00E91F47"/>
    <w:rsid w:val="00E92B2E"/>
    <w:rsid w:val="00E9378E"/>
    <w:rsid w:val="00E9536F"/>
    <w:rsid w:val="00E964C2"/>
    <w:rsid w:val="00E971D6"/>
    <w:rsid w:val="00EA01A1"/>
    <w:rsid w:val="00EA1328"/>
    <w:rsid w:val="00EA2014"/>
    <w:rsid w:val="00EA6C2F"/>
    <w:rsid w:val="00EA7AC3"/>
    <w:rsid w:val="00EA7F6E"/>
    <w:rsid w:val="00EB14B3"/>
    <w:rsid w:val="00EB266E"/>
    <w:rsid w:val="00EB2A1D"/>
    <w:rsid w:val="00EB2FAB"/>
    <w:rsid w:val="00EB3121"/>
    <w:rsid w:val="00EB3748"/>
    <w:rsid w:val="00EB428B"/>
    <w:rsid w:val="00EC475D"/>
    <w:rsid w:val="00EC68D6"/>
    <w:rsid w:val="00ED07B7"/>
    <w:rsid w:val="00ED09F7"/>
    <w:rsid w:val="00ED0FEF"/>
    <w:rsid w:val="00ED268B"/>
    <w:rsid w:val="00ED6E59"/>
    <w:rsid w:val="00ED717A"/>
    <w:rsid w:val="00EE0808"/>
    <w:rsid w:val="00EE1179"/>
    <w:rsid w:val="00EE1776"/>
    <w:rsid w:val="00EE319B"/>
    <w:rsid w:val="00EE783D"/>
    <w:rsid w:val="00EF0590"/>
    <w:rsid w:val="00EF365D"/>
    <w:rsid w:val="00F0065C"/>
    <w:rsid w:val="00F02D4B"/>
    <w:rsid w:val="00F06B4A"/>
    <w:rsid w:val="00F06B8C"/>
    <w:rsid w:val="00F1075B"/>
    <w:rsid w:val="00F109E2"/>
    <w:rsid w:val="00F1731B"/>
    <w:rsid w:val="00F20D01"/>
    <w:rsid w:val="00F226DD"/>
    <w:rsid w:val="00F23885"/>
    <w:rsid w:val="00F23974"/>
    <w:rsid w:val="00F26817"/>
    <w:rsid w:val="00F2791D"/>
    <w:rsid w:val="00F33DC0"/>
    <w:rsid w:val="00F348E5"/>
    <w:rsid w:val="00F35D38"/>
    <w:rsid w:val="00F3656E"/>
    <w:rsid w:val="00F374EB"/>
    <w:rsid w:val="00F3774E"/>
    <w:rsid w:val="00F41B42"/>
    <w:rsid w:val="00F4505C"/>
    <w:rsid w:val="00F45486"/>
    <w:rsid w:val="00F469E8"/>
    <w:rsid w:val="00F4735D"/>
    <w:rsid w:val="00F47714"/>
    <w:rsid w:val="00F5002F"/>
    <w:rsid w:val="00F50369"/>
    <w:rsid w:val="00F50AA7"/>
    <w:rsid w:val="00F51343"/>
    <w:rsid w:val="00F57A71"/>
    <w:rsid w:val="00F63348"/>
    <w:rsid w:val="00F66288"/>
    <w:rsid w:val="00F72736"/>
    <w:rsid w:val="00F74CE8"/>
    <w:rsid w:val="00F764EF"/>
    <w:rsid w:val="00F771E8"/>
    <w:rsid w:val="00F77AF3"/>
    <w:rsid w:val="00F77F7F"/>
    <w:rsid w:val="00F802B3"/>
    <w:rsid w:val="00F83A85"/>
    <w:rsid w:val="00F84214"/>
    <w:rsid w:val="00F901FD"/>
    <w:rsid w:val="00F91694"/>
    <w:rsid w:val="00F9270F"/>
    <w:rsid w:val="00F95E85"/>
    <w:rsid w:val="00FA02A9"/>
    <w:rsid w:val="00FA1946"/>
    <w:rsid w:val="00FA3C37"/>
    <w:rsid w:val="00FA5059"/>
    <w:rsid w:val="00FA5992"/>
    <w:rsid w:val="00FA7BD0"/>
    <w:rsid w:val="00FB137B"/>
    <w:rsid w:val="00FB19F8"/>
    <w:rsid w:val="00FB633D"/>
    <w:rsid w:val="00FC2A17"/>
    <w:rsid w:val="00FC7319"/>
    <w:rsid w:val="00FC74EA"/>
    <w:rsid w:val="00FD377E"/>
    <w:rsid w:val="00FD37C1"/>
    <w:rsid w:val="00FD3A4B"/>
    <w:rsid w:val="00FD5BD4"/>
    <w:rsid w:val="00FD6307"/>
    <w:rsid w:val="00FE5479"/>
    <w:rsid w:val="00FE5BB1"/>
    <w:rsid w:val="00FF0FA0"/>
    <w:rsid w:val="00FF1552"/>
    <w:rsid w:val="00FF1B0E"/>
    <w:rsid w:val="00FF25AE"/>
    <w:rsid w:val="00FF3BCB"/>
    <w:rsid w:val="00FF5A1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ostalCode"/>
  <w:smartTagType w:namespaceuri="urn:schemas-microsoft-com:office:smarttags" w:name="City"/>
  <w:smartTagType w:namespaceuri="urn:schemas-microsoft-com:office:smarttags" w:name="place"/>
  <w:smartTagType w:namespaceuri="urn:schemas-microsoft-com:office:smarttags" w:name="State"/>
  <w:shapeDefaults>
    <o:shapedefaults v:ext="edit" spidmax="57345"/>
    <o:shapelayout v:ext="edit">
      <o:idmap v:ext="edit" data="1"/>
    </o:shapelayout>
  </w:shapeDefaults>
  <w:decimalSymbol w:val="."/>
  <w:listSeparator w:val=","/>
  <w14:docId w14:val="58BC3ED1"/>
  <w15:docId w15:val="{34DD01C2-AAF3-44DC-923E-C79DDC2E812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semiHidden="1" w:unhideWhenUsed="1" w:qFormat="1"/>
    <w:lsdException w:name="heading 4" w:qFormat="1"/>
    <w:lsdException w:name="heading 5"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004B5C"/>
    <w:rPr>
      <w:sz w:val="22"/>
    </w:rPr>
  </w:style>
  <w:style w:type="paragraph" w:styleId="Heading2">
    <w:name w:val="heading 2"/>
    <w:basedOn w:val="Normal"/>
    <w:next w:val="Normal"/>
    <w:link w:val="Heading2Char"/>
    <w:qFormat/>
    <w:rsid w:val="00C01B12"/>
    <w:pPr>
      <w:keepNext/>
      <w:outlineLvl w:val="1"/>
    </w:pPr>
    <w:rPr>
      <w:b/>
      <w:u w:val="single"/>
    </w:rPr>
  </w:style>
  <w:style w:type="paragraph" w:styleId="Heading4">
    <w:name w:val="heading 4"/>
    <w:basedOn w:val="Normal"/>
    <w:next w:val="Normal"/>
    <w:qFormat/>
    <w:rsid w:val="00533828"/>
    <w:pPr>
      <w:keepNext/>
      <w:spacing w:before="240" w:after="60"/>
      <w:outlineLvl w:val="3"/>
    </w:pPr>
    <w:rPr>
      <w:b/>
      <w:bCs/>
      <w:sz w:val="28"/>
      <w:szCs w:val="28"/>
    </w:rPr>
  </w:style>
  <w:style w:type="paragraph" w:styleId="Heading5">
    <w:name w:val="heading 5"/>
    <w:basedOn w:val="Normal"/>
    <w:next w:val="Normal"/>
    <w:link w:val="Heading5Char"/>
    <w:qFormat/>
    <w:rsid w:val="00827060"/>
    <w:pPr>
      <w:spacing w:before="240" w:after="60"/>
      <w:outlineLvl w:val="4"/>
    </w:pPr>
    <w:rPr>
      <w:b/>
      <w:bCs/>
      <w:i/>
      <w:iCs/>
      <w:sz w:val="26"/>
      <w:szCs w:val="26"/>
    </w:rPr>
  </w:style>
  <w:style w:type="paragraph" w:styleId="Heading7">
    <w:name w:val="heading 7"/>
    <w:basedOn w:val="Normal"/>
    <w:next w:val="Normal"/>
    <w:link w:val="Heading7Char"/>
    <w:qFormat/>
    <w:rsid w:val="00827060"/>
    <w:pPr>
      <w:spacing w:before="240" w:after="60"/>
      <w:outlineLvl w:val="6"/>
    </w:pPr>
    <w:rPr>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aliases w:val="SCA Body Text,SCA Body Text1,SCA Body Text2,SCA Body Text11,BodyText-JEA,BT-JEA"/>
    <w:basedOn w:val="Normal"/>
    <w:link w:val="BodyTextChar"/>
    <w:rsid w:val="00C95E6D"/>
    <w:pPr>
      <w:spacing w:after="120"/>
    </w:pPr>
  </w:style>
  <w:style w:type="paragraph" w:styleId="Header">
    <w:name w:val="header"/>
    <w:basedOn w:val="Normal"/>
    <w:link w:val="HeaderChar"/>
    <w:rsid w:val="00C95E6D"/>
    <w:pPr>
      <w:tabs>
        <w:tab w:val="center" w:pos="4320"/>
        <w:tab w:val="right" w:pos="8640"/>
      </w:tabs>
    </w:pPr>
  </w:style>
  <w:style w:type="paragraph" w:styleId="Footer">
    <w:name w:val="footer"/>
    <w:basedOn w:val="Normal"/>
    <w:link w:val="FooterChar"/>
    <w:rsid w:val="00C95E6D"/>
    <w:pPr>
      <w:tabs>
        <w:tab w:val="center" w:pos="4320"/>
        <w:tab w:val="right" w:pos="8640"/>
      </w:tabs>
    </w:pPr>
  </w:style>
  <w:style w:type="paragraph" w:styleId="BodyText2">
    <w:name w:val="Body Text 2"/>
    <w:basedOn w:val="Normal"/>
    <w:link w:val="BodyText2Char"/>
    <w:rsid w:val="00AE52ED"/>
    <w:pPr>
      <w:spacing w:after="120" w:line="480" w:lineRule="auto"/>
    </w:pPr>
  </w:style>
  <w:style w:type="paragraph" w:customStyle="1" w:styleId="Style0">
    <w:name w:val="Style0"/>
    <w:rsid w:val="00AE52ED"/>
    <w:rPr>
      <w:rFonts w:ascii="Arial" w:hAnsi="Arial"/>
      <w:sz w:val="24"/>
    </w:rPr>
  </w:style>
  <w:style w:type="character" w:styleId="PageNumber">
    <w:name w:val="page number"/>
    <w:basedOn w:val="DefaultParagraphFont"/>
    <w:rsid w:val="00C01B12"/>
  </w:style>
  <w:style w:type="paragraph" w:styleId="BodyText3">
    <w:name w:val="Body Text 3"/>
    <w:basedOn w:val="Normal"/>
    <w:rsid w:val="00C01B12"/>
    <w:pPr>
      <w:spacing w:after="120"/>
    </w:pPr>
    <w:rPr>
      <w:sz w:val="16"/>
      <w:szCs w:val="16"/>
    </w:rPr>
  </w:style>
  <w:style w:type="character" w:customStyle="1" w:styleId="Heading2Char">
    <w:name w:val="Heading 2 Char"/>
    <w:basedOn w:val="DefaultParagraphFont"/>
    <w:link w:val="Heading2"/>
    <w:semiHidden/>
    <w:locked/>
    <w:rsid w:val="00C01B12"/>
    <w:rPr>
      <w:b/>
      <w:sz w:val="22"/>
      <w:u w:val="single"/>
      <w:lang w:val="en-US" w:eastAsia="en-US" w:bidi="ar-SA"/>
    </w:rPr>
  </w:style>
  <w:style w:type="character" w:customStyle="1" w:styleId="HeaderChar">
    <w:name w:val="Header Char"/>
    <w:basedOn w:val="DefaultParagraphFont"/>
    <w:link w:val="Header"/>
    <w:locked/>
    <w:rsid w:val="00151782"/>
    <w:rPr>
      <w:sz w:val="22"/>
      <w:lang w:val="en-US" w:eastAsia="en-US" w:bidi="ar-SA"/>
    </w:rPr>
  </w:style>
  <w:style w:type="paragraph" w:styleId="BodyTextIndent">
    <w:name w:val="Body Text Indent"/>
    <w:basedOn w:val="Normal"/>
    <w:rsid w:val="00827060"/>
    <w:pPr>
      <w:spacing w:after="120"/>
      <w:ind w:left="360"/>
    </w:pPr>
  </w:style>
  <w:style w:type="character" w:customStyle="1" w:styleId="Heading5Char">
    <w:name w:val="Heading 5 Char"/>
    <w:basedOn w:val="DefaultParagraphFont"/>
    <w:link w:val="Heading5"/>
    <w:semiHidden/>
    <w:locked/>
    <w:rsid w:val="00827060"/>
    <w:rPr>
      <w:b/>
      <w:bCs/>
      <w:i/>
      <w:iCs/>
      <w:sz w:val="26"/>
      <w:szCs w:val="26"/>
      <w:lang w:val="en-US" w:eastAsia="en-US" w:bidi="ar-SA"/>
    </w:rPr>
  </w:style>
  <w:style w:type="character" w:customStyle="1" w:styleId="Heading7Char">
    <w:name w:val="Heading 7 Char"/>
    <w:basedOn w:val="DefaultParagraphFont"/>
    <w:link w:val="Heading7"/>
    <w:semiHidden/>
    <w:locked/>
    <w:rsid w:val="00827060"/>
    <w:rPr>
      <w:sz w:val="24"/>
      <w:szCs w:val="24"/>
      <w:lang w:val="en-US" w:eastAsia="en-US" w:bidi="ar-SA"/>
    </w:rPr>
  </w:style>
  <w:style w:type="character" w:customStyle="1" w:styleId="FooterChar">
    <w:name w:val="Footer Char"/>
    <w:basedOn w:val="DefaultParagraphFont"/>
    <w:link w:val="Footer"/>
    <w:semiHidden/>
    <w:locked/>
    <w:rsid w:val="00827060"/>
    <w:rPr>
      <w:sz w:val="22"/>
      <w:lang w:val="en-US" w:eastAsia="en-US" w:bidi="ar-SA"/>
    </w:rPr>
  </w:style>
  <w:style w:type="table" w:styleId="TableGrid">
    <w:name w:val="Table Grid"/>
    <w:basedOn w:val="TableNormal"/>
    <w:rsid w:val="0089261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semiHidden/>
    <w:rsid w:val="00D66F5B"/>
    <w:rPr>
      <w:rFonts w:ascii="Tahoma" w:hAnsi="Tahoma" w:cs="Tahoma"/>
      <w:sz w:val="16"/>
      <w:szCs w:val="16"/>
    </w:rPr>
  </w:style>
  <w:style w:type="paragraph" w:styleId="TOC1">
    <w:name w:val="toc 1"/>
    <w:basedOn w:val="Normal"/>
    <w:next w:val="Normal"/>
    <w:autoRedefine/>
    <w:semiHidden/>
    <w:rsid w:val="006910A9"/>
    <w:pPr>
      <w:tabs>
        <w:tab w:val="left" w:pos="5040"/>
      </w:tabs>
      <w:overflowPunct w:val="0"/>
      <w:autoSpaceDE w:val="0"/>
      <w:autoSpaceDN w:val="0"/>
      <w:adjustRightInd w:val="0"/>
      <w:textAlignment w:val="baseline"/>
    </w:pPr>
  </w:style>
  <w:style w:type="paragraph" w:styleId="TOC2">
    <w:name w:val="toc 2"/>
    <w:basedOn w:val="Normal"/>
    <w:next w:val="Normal"/>
    <w:autoRedefine/>
    <w:semiHidden/>
    <w:rsid w:val="006910A9"/>
    <w:pPr>
      <w:tabs>
        <w:tab w:val="left" w:pos="5040"/>
      </w:tabs>
      <w:overflowPunct w:val="0"/>
      <w:autoSpaceDE w:val="0"/>
      <w:autoSpaceDN w:val="0"/>
      <w:adjustRightInd w:val="0"/>
      <w:ind w:left="200"/>
      <w:textAlignment w:val="baseline"/>
    </w:pPr>
  </w:style>
  <w:style w:type="character" w:styleId="Hyperlink">
    <w:name w:val="Hyperlink"/>
    <w:basedOn w:val="DefaultParagraphFont"/>
    <w:rsid w:val="002405F4"/>
    <w:rPr>
      <w:color w:val="0000FF"/>
      <w:u w:val="single"/>
    </w:rPr>
  </w:style>
  <w:style w:type="character" w:styleId="CommentReference">
    <w:name w:val="annotation reference"/>
    <w:basedOn w:val="DefaultParagraphFont"/>
    <w:rsid w:val="00BC4026"/>
    <w:rPr>
      <w:sz w:val="16"/>
      <w:szCs w:val="16"/>
    </w:rPr>
  </w:style>
  <w:style w:type="paragraph" w:styleId="CommentText">
    <w:name w:val="annotation text"/>
    <w:basedOn w:val="Normal"/>
    <w:link w:val="CommentTextChar"/>
    <w:rsid w:val="00BC4026"/>
    <w:rPr>
      <w:sz w:val="20"/>
    </w:rPr>
  </w:style>
  <w:style w:type="paragraph" w:styleId="CommentSubject">
    <w:name w:val="annotation subject"/>
    <w:basedOn w:val="CommentText"/>
    <w:next w:val="CommentText"/>
    <w:semiHidden/>
    <w:rsid w:val="00172C1F"/>
    <w:rPr>
      <w:b/>
      <w:bCs/>
    </w:rPr>
  </w:style>
  <w:style w:type="paragraph" w:styleId="BodyTextIndent3">
    <w:name w:val="Body Text Indent 3"/>
    <w:basedOn w:val="Normal"/>
    <w:rsid w:val="00753536"/>
    <w:pPr>
      <w:tabs>
        <w:tab w:val="left" w:pos="720"/>
        <w:tab w:val="left" w:pos="5040"/>
        <w:tab w:val="right" w:pos="10080"/>
      </w:tabs>
      <w:spacing w:after="120"/>
      <w:ind w:left="360"/>
      <w:jc w:val="both"/>
    </w:pPr>
    <w:rPr>
      <w:sz w:val="16"/>
      <w:szCs w:val="16"/>
    </w:rPr>
  </w:style>
  <w:style w:type="character" w:styleId="FollowedHyperlink">
    <w:name w:val="FollowedHyperlink"/>
    <w:basedOn w:val="DefaultParagraphFont"/>
    <w:rsid w:val="0053171C"/>
    <w:rPr>
      <w:color w:val="800080"/>
      <w:u w:val="single"/>
    </w:rPr>
  </w:style>
  <w:style w:type="paragraph" w:styleId="ListParagraph">
    <w:name w:val="List Paragraph"/>
    <w:basedOn w:val="Normal"/>
    <w:uiPriority w:val="34"/>
    <w:qFormat/>
    <w:rsid w:val="00787F64"/>
    <w:pPr>
      <w:ind w:left="720"/>
      <w:contextualSpacing/>
    </w:pPr>
  </w:style>
  <w:style w:type="character" w:styleId="UnresolvedMention">
    <w:name w:val="Unresolved Mention"/>
    <w:basedOn w:val="DefaultParagraphFont"/>
    <w:uiPriority w:val="99"/>
    <w:semiHidden/>
    <w:unhideWhenUsed/>
    <w:rsid w:val="00E6223B"/>
    <w:rPr>
      <w:color w:val="808080"/>
      <w:shd w:val="clear" w:color="auto" w:fill="E6E6E6"/>
    </w:rPr>
  </w:style>
  <w:style w:type="character" w:customStyle="1" w:styleId="CommentTextChar">
    <w:name w:val="Comment Text Char"/>
    <w:basedOn w:val="DefaultParagraphFont"/>
    <w:link w:val="CommentText"/>
    <w:rsid w:val="00F23974"/>
  </w:style>
  <w:style w:type="character" w:styleId="PlaceholderText">
    <w:name w:val="Placeholder Text"/>
    <w:basedOn w:val="DefaultParagraphFont"/>
    <w:uiPriority w:val="99"/>
    <w:semiHidden/>
    <w:rsid w:val="00A265AE"/>
    <w:rPr>
      <w:color w:val="808080"/>
    </w:rPr>
  </w:style>
  <w:style w:type="character" w:customStyle="1" w:styleId="BodyText2Char">
    <w:name w:val="Body Text 2 Char"/>
    <w:basedOn w:val="DefaultParagraphFont"/>
    <w:link w:val="BodyText2"/>
    <w:rsid w:val="003A3118"/>
    <w:rPr>
      <w:sz w:val="22"/>
    </w:rPr>
  </w:style>
  <w:style w:type="character" w:customStyle="1" w:styleId="BodyTextChar">
    <w:name w:val="Body Text Char"/>
    <w:aliases w:val="SCA Body Text Char,SCA Body Text1 Char,SCA Body Text2 Char,SCA Body Text11 Char,BodyText-JEA Char,BT-JEA Char"/>
    <w:basedOn w:val="DefaultParagraphFont"/>
    <w:link w:val="BodyText"/>
    <w:locked/>
    <w:rsid w:val="00A916D5"/>
    <w:rPr>
      <w:sz w:val="22"/>
    </w:rPr>
  </w:style>
  <w:style w:type="table" w:customStyle="1" w:styleId="TableGrid1">
    <w:name w:val="Table Grid1"/>
    <w:basedOn w:val="TableNormal"/>
    <w:next w:val="TableGrid"/>
    <w:uiPriority w:val="39"/>
    <w:rsid w:val="00A501BF"/>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6973832">
      <w:bodyDiv w:val="1"/>
      <w:marLeft w:val="0"/>
      <w:marRight w:val="0"/>
      <w:marTop w:val="0"/>
      <w:marBottom w:val="0"/>
      <w:divBdr>
        <w:top w:val="none" w:sz="0" w:space="0" w:color="auto"/>
        <w:left w:val="none" w:sz="0" w:space="0" w:color="auto"/>
        <w:bottom w:val="none" w:sz="0" w:space="0" w:color="auto"/>
        <w:right w:val="none" w:sz="0" w:space="0" w:color="auto"/>
      </w:divBdr>
    </w:div>
    <w:div w:id="54816025">
      <w:bodyDiv w:val="1"/>
      <w:marLeft w:val="0"/>
      <w:marRight w:val="0"/>
      <w:marTop w:val="0"/>
      <w:marBottom w:val="0"/>
      <w:divBdr>
        <w:top w:val="none" w:sz="0" w:space="0" w:color="auto"/>
        <w:left w:val="none" w:sz="0" w:space="0" w:color="auto"/>
        <w:bottom w:val="none" w:sz="0" w:space="0" w:color="auto"/>
        <w:right w:val="none" w:sz="0" w:space="0" w:color="auto"/>
      </w:divBdr>
    </w:div>
    <w:div w:id="143352134">
      <w:bodyDiv w:val="1"/>
      <w:marLeft w:val="0"/>
      <w:marRight w:val="0"/>
      <w:marTop w:val="0"/>
      <w:marBottom w:val="0"/>
      <w:divBdr>
        <w:top w:val="none" w:sz="0" w:space="0" w:color="auto"/>
        <w:left w:val="none" w:sz="0" w:space="0" w:color="auto"/>
        <w:bottom w:val="none" w:sz="0" w:space="0" w:color="auto"/>
        <w:right w:val="none" w:sz="0" w:space="0" w:color="auto"/>
      </w:divBdr>
    </w:div>
    <w:div w:id="172303635">
      <w:bodyDiv w:val="1"/>
      <w:marLeft w:val="0"/>
      <w:marRight w:val="0"/>
      <w:marTop w:val="0"/>
      <w:marBottom w:val="0"/>
      <w:divBdr>
        <w:top w:val="none" w:sz="0" w:space="0" w:color="auto"/>
        <w:left w:val="none" w:sz="0" w:space="0" w:color="auto"/>
        <w:bottom w:val="none" w:sz="0" w:space="0" w:color="auto"/>
        <w:right w:val="none" w:sz="0" w:space="0" w:color="auto"/>
      </w:divBdr>
    </w:div>
    <w:div w:id="296034750">
      <w:bodyDiv w:val="1"/>
      <w:marLeft w:val="0"/>
      <w:marRight w:val="0"/>
      <w:marTop w:val="0"/>
      <w:marBottom w:val="0"/>
      <w:divBdr>
        <w:top w:val="none" w:sz="0" w:space="0" w:color="auto"/>
        <w:left w:val="none" w:sz="0" w:space="0" w:color="auto"/>
        <w:bottom w:val="none" w:sz="0" w:space="0" w:color="auto"/>
        <w:right w:val="none" w:sz="0" w:space="0" w:color="auto"/>
      </w:divBdr>
    </w:div>
    <w:div w:id="316761957">
      <w:bodyDiv w:val="1"/>
      <w:marLeft w:val="0"/>
      <w:marRight w:val="0"/>
      <w:marTop w:val="0"/>
      <w:marBottom w:val="0"/>
      <w:divBdr>
        <w:top w:val="none" w:sz="0" w:space="0" w:color="auto"/>
        <w:left w:val="none" w:sz="0" w:space="0" w:color="auto"/>
        <w:bottom w:val="none" w:sz="0" w:space="0" w:color="auto"/>
        <w:right w:val="none" w:sz="0" w:space="0" w:color="auto"/>
      </w:divBdr>
    </w:div>
    <w:div w:id="391392853">
      <w:bodyDiv w:val="1"/>
      <w:marLeft w:val="0"/>
      <w:marRight w:val="0"/>
      <w:marTop w:val="0"/>
      <w:marBottom w:val="0"/>
      <w:divBdr>
        <w:top w:val="none" w:sz="0" w:space="0" w:color="auto"/>
        <w:left w:val="none" w:sz="0" w:space="0" w:color="auto"/>
        <w:bottom w:val="none" w:sz="0" w:space="0" w:color="auto"/>
        <w:right w:val="none" w:sz="0" w:space="0" w:color="auto"/>
      </w:divBdr>
    </w:div>
    <w:div w:id="455293864">
      <w:bodyDiv w:val="1"/>
      <w:marLeft w:val="0"/>
      <w:marRight w:val="0"/>
      <w:marTop w:val="0"/>
      <w:marBottom w:val="0"/>
      <w:divBdr>
        <w:top w:val="none" w:sz="0" w:space="0" w:color="auto"/>
        <w:left w:val="none" w:sz="0" w:space="0" w:color="auto"/>
        <w:bottom w:val="none" w:sz="0" w:space="0" w:color="auto"/>
        <w:right w:val="none" w:sz="0" w:space="0" w:color="auto"/>
      </w:divBdr>
    </w:div>
    <w:div w:id="541989172">
      <w:bodyDiv w:val="1"/>
      <w:marLeft w:val="0"/>
      <w:marRight w:val="0"/>
      <w:marTop w:val="0"/>
      <w:marBottom w:val="0"/>
      <w:divBdr>
        <w:top w:val="none" w:sz="0" w:space="0" w:color="auto"/>
        <w:left w:val="none" w:sz="0" w:space="0" w:color="auto"/>
        <w:bottom w:val="none" w:sz="0" w:space="0" w:color="auto"/>
        <w:right w:val="none" w:sz="0" w:space="0" w:color="auto"/>
      </w:divBdr>
      <w:divsChild>
        <w:div w:id="395710119">
          <w:marLeft w:val="0"/>
          <w:marRight w:val="0"/>
          <w:marTop w:val="0"/>
          <w:marBottom w:val="0"/>
          <w:divBdr>
            <w:top w:val="none" w:sz="0" w:space="0" w:color="auto"/>
            <w:left w:val="none" w:sz="0" w:space="0" w:color="auto"/>
            <w:bottom w:val="none" w:sz="0" w:space="0" w:color="auto"/>
            <w:right w:val="none" w:sz="0" w:space="0" w:color="auto"/>
          </w:divBdr>
          <w:divsChild>
            <w:div w:id="1114864572">
              <w:marLeft w:val="65"/>
              <w:marRight w:val="0"/>
              <w:marTop w:val="65"/>
              <w:marBottom w:val="0"/>
              <w:divBdr>
                <w:top w:val="none" w:sz="0" w:space="0" w:color="auto"/>
                <w:left w:val="single" w:sz="4" w:space="0" w:color="CCCCCC"/>
                <w:bottom w:val="single" w:sz="4" w:space="0" w:color="CCCCCC"/>
                <w:right w:val="single" w:sz="4" w:space="0" w:color="CCCCCC"/>
              </w:divBdr>
              <w:divsChild>
                <w:div w:id="1722246626">
                  <w:marLeft w:val="65"/>
                  <w:marRight w:val="65"/>
                  <w:marTop w:val="0"/>
                  <w:marBottom w:val="0"/>
                  <w:divBdr>
                    <w:top w:val="none" w:sz="0" w:space="0" w:color="auto"/>
                    <w:left w:val="none" w:sz="0" w:space="0" w:color="auto"/>
                    <w:bottom w:val="none" w:sz="0" w:space="0" w:color="auto"/>
                    <w:right w:val="none" w:sz="0" w:space="0" w:color="auto"/>
                  </w:divBdr>
                </w:div>
              </w:divsChild>
            </w:div>
          </w:divsChild>
        </w:div>
      </w:divsChild>
    </w:div>
    <w:div w:id="610819767">
      <w:bodyDiv w:val="1"/>
      <w:marLeft w:val="0"/>
      <w:marRight w:val="0"/>
      <w:marTop w:val="0"/>
      <w:marBottom w:val="0"/>
      <w:divBdr>
        <w:top w:val="none" w:sz="0" w:space="0" w:color="auto"/>
        <w:left w:val="none" w:sz="0" w:space="0" w:color="auto"/>
        <w:bottom w:val="none" w:sz="0" w:space="0" w:color="auto"/>
        <w:right w:val="none" w:sz="0" w:space="0" w:color="auto"/>
      </w:divBdr>
    </w:div>
    <w:div w:id="619840824">
      <w:bodyDiv w:val="1"/>
      <w:marLeft w:val="0"/>
      <w:marRight w:val="0"/>
      <w:marTop w:val="0"/>
      <w:marBottom w:val="0"/>
      <w:divBdr>
        <w:top w:val="none" w:sz="0" w:space="0" w:color="auto"/>
        <w:left w:val="none" w:sz="0" w:space="0" w:color="auto"/>
        <w:bottom w:val="none" w:sz="0" w:space="0" w:color="auto"/>
        <w:right w:val="none" w:sz="0" w:space="0" w:color="auto"/>
      </w:divBdr>
    </w:div>
    <w:div w:id="697506788">
      <w:bodyDiv w:val="1"/>
      <w:marLeft w:val="0"/>
      <w:marRight w:val="0"/>
      <w:marTop w:val="0"/>
      <w:marBottom w:val="0"/>
      <w:divBdr>
        <w:top w:val="none" w:sz="0" w:space="0" w:color="auto"/>
        <w:left w:val="none" w:sz="0" w:space="0" w:color="auto"/>
        <w:bottom w:val="none" w:sz="0" w:space="0" w:color="auto"/>
        <w:right w:val="none" w:sz="0" w:space="0" w:color="auto"/>
      </w:divBdr>
    </w:div>
    <w:div w:id="755632018">
      <w:bodyDiv w:val="1"/>
      <w:marLeft w:val="0"/>
      <w:marRight w:val="0"/>
      <w:marTop w:val="0"/>
      <w:marBottom w:val="0"/>
      <w:divBdr>
        <w:top w:val="none" w:sz="0" w:space="0" w:color="auto"/>
        <w:left w:val="none" w:sz="0" w:space="0" w:color="auto"/>
        <w:bottom w:val="none" w:sz="0" w:space="0" w:color="auto"/>
        <w:right w:val="none" w:sz="0" w:space="0" w:color="auto"/>
      </w:divBdr>
      <w:divsChild>
        <w:div w:id="1829789911">
          <w:marLeft w:val="0"/>
          <w:marRight w:val="0"/>
          <w:marTop w:val="0"/>
          <w:marBottom w:val="0"/>
          <w:divBdr>
            <w:top w:val="none" w:sz="0" w:space="0" w:color="auto"/>
            <w:left w:val="none" w:sz="0" w:space="0" w:color="auto"/>
            <w:bottom w:val="none" w:sz="0" w:space="0" w:color="auto"/>
            <w:right w:val="none" w:sz="0" w:space="0" w:color="auto"/>
          </w:divBdr>
          <w:divsChild>
            <w:div w:id="376439604">
              <w:marLeft w:val="65"/>
              <w:marRight w:val="0"/>
              <w:marTop w:val="65"/>
              <w:marBottom w:val="0"/>
              <w:divBdr>
                <w:top w:val="none" w:sz="0" w:space="0" w:color="auto"/>
                <w:left w:val="single" w:sz="4" w:space="0" w:color="CCCCCC"/>
                <w:bottom w:val="single" w:sz="4" w:space="0" w:color="CCCCCC"/>
                <w:right w:val="single" w:sz="4" w:space="0" w:color="CCCCCC"/>
              </w:divBdr>
              <w:divsChild>
                <w:div w:id="563684195">
                  <w:marLeft w:val="65"/>
                  <w:marRight w:val="65"/>
                  <w:marTop w:val="0"/>
                  <w:marBottom w:val="0"/>
                  <w:divBdr>
                    <w:top w:val="none" w:sz="0" w:space="0" w:color="auto"/>
                    <w:left w:val="none" w:sz="0" w:space="0" w:color="auto"/>
                    <w:bottom w:val="none" w:sz="0" w:space="0" w:color="auto"/>
                    <w:right w:val="none" w:sz="0" w:space="0" w:color="auto"/>
                  </w:divBdr>
                </w:div>
              </w:divsChild>
            </w:div>
          </w:divsChild>
        </w:div>
      </w:divsChild>
    </w:div>
    <w:div w:id="786969650">
      <w:bodyDiv w:val="1"/>
      <w:marLeft w:val="0"/>
      <w:marRight w:val="0"/>
      <w:marTop w:val="0"/>
      <w:marBottom w:val="0"/>
      <w:divBdr>
        <w:top w:val="none" w:sz="0" w:space="0" w:color="auto"/>
        <w:left w:val="none" w:sz="0" w:space="0" w:color="auto"/>
        <w:bottom w:val="none" w:sz="0" w:space="0" w:color="auto"/>
        <w:right w:val="none" w:sz="0" w:space="0" w:color="auto"/>
      </w:divBdr>
    </w:div>
    <w:div w:id="875242129">
      <w:bodyDiv w:val="1"/>
      <w:marLeft w:val="0"/>
      <w:marRight w:val="0"/>
      <w:marTop w:val="0"/>
      <w:marBottom w:val="0"/>
      <w:divBdr>
        <w:top w:val="none" w:sz="0" w:space="0" w:color="auto"/>
        <w:left w:val="none" w:sz="0" w:space="0" w:color="auto"/>
        <w:bottom w:val="none" w:sz="0" w:space="0" w:color="auto"/>
        <w:right w:val="none" w:sz="0" w:space="0" w:color="auto"/>
      </w:divBdr>
      <w:divsChild>
        <w:div w:id="1677924939">
          <w:marLeft w:val="0"/>
          <w:marRight w:val="0"/>
          <w:marTop w:val="0"/>
          <w:marBottom w:val="0"/>
          <w:divBdr>
            <w:top w:val="none" w:sz="0" w:space="0" w:color="auto"/>
            <w:left w:val="none" w:sz="0" w:space="0" w:color="auto"/>
            <w:bottom w:val="none" w:sz="0" w:space="0" w:color="auto"/>
            <w:right w:val="none" w:sz="0" w:space="0" w:color="auto"/>
          </w:divBdr>
          <w:divsChild>
            <w:div w:id="581065196">
              <w:marLeft w:val="65"/>
              <w:marRight w:val="0"/>
              <w:marTop w:val="65"/>
              <w:marBottom w:val="0"/>
              <w:divBdr>
                <w:top w:val="none" w:sz="0" w:space="0" w:color="auto"/>
                <w:left w:val="single" w:sz="4" w:space="0" w:color="CCCCCC"/>
                <w:bottom w:val="single" w:sz="4" w:space="0" w:color="CCCCCC"/>
                <w:right w:val="single" w:sz="4" w:space="0" w:color="CCCCCC"/>
              </w:divBdr>
              <w:divsChild>
                <w:div w:id="300884285">
                  <w:marLeft w:val="65"/>
                  <w:marRight w:val="65"/>
                  <w:marTop w:val="0"/>
                  <w:marBottom w:val="0"/>
                  <w:divBdr>
                    <w:top w:val="none" w:sz="0" w:space="0" w:color="auto"/>
                    <w:left w:val="none" w:sz="0" w:space="0" w:color="auto"/>
                    <w:bottom w:val="none" w:sz="0" w:space="0" w:color="auto"/>
                    <w:right w:val="none" w:sz="0" w:space="0" w:color="auto"/>
                  </w:divBdr>
                </w:div>
              </w:divsChild>
            </w:div>
          </w:divsChild>
        </w:div>
      </w:divsChild>
    </w:div>
    <w:div w:id="1045564992">
      <w:bodyDiv w:val="1"/>
      <w:marLeft w:val="0"/>
      <w:marRight w:val="0"/>
      <w:marTop w:val="0"/>
      <w:marBottom w:val="0"/>
      <w:divBdr>
        <w:top w:val="none" w:sz="0" w:space="0" w:color="auto"/>
        <w:left w:val="none" w:sz="0" w:space="0" w:color="auto"/>
        <w:bottom w:val="none" w:sz="0" w:space="0" w:color="auto"/>
        <w:right w:val="none" w:sz="0" w:space="0" w:color="auto"/>
      </w:divBdr>
    </w:div>
    <w:div w:id="1057582400">
      <w:bodyDiv w:val="1"/>
      <w:marLeft w:val="0"/>
      <w:marRight w:val="0"/>
      <w:marTop w:val="0"/>
      <w:marBottom w:val="0"/>
      <w:divBdr>
        <w:top w:val="none" w:sz="0" w:space="0" w:color="auto"/>
        <w:left w:val="none" w:sz="0" w:space="0" w:color="auto"/>
        <w:bottom w:val="none" w:sz="0" w:space="0" w:color="auto"/>
        <w:right w:val="none" w:sz="0" w:space="0" w:color="auto"/>
      </w:divBdr>
    </w:div>
    <w:div w:id="1099259300">
      <w:bodyDiv w:val="1"/>
      <w:marLeft w:val="0"/>
      <w:marRight w:val="0"/>
      <w:marTop w:val="0"/>
      <w:marBottom w:val="0"/>
      <w:divBdr>
        <w:top w:val="none" w:sz="0" w:space="0" w:color="auto"/>
        <w:left w:val="none" w:sz="0" w:space="0" w:color="auto"/>
        <w:bottom w:val="none" w:sz="0" w:space="0" w:color="auto"/>
        <w:right w:val="none" w:sz="0" w:space="0" w:color="auto"/>
      </w:divBdr>
    </w:div>
    <w:div w:id="1203439382">
      <w:bodyDiv w:val="1"/>
      <w:marLeft w:val="0"/>
      <w:marRight w:val="0"/>
      <w:marTop w:val="0"/>
      <w:marBottom w:val="0"/>
      <w:divBdr>
        <w:top w:val="none" w:sz="0" w:space="0" w:color="auto"/>
        <w:left w:val="none" w:sz="0" w:space="0" w:color="auto"/>
        <w:bottom w:val="none" w:sz="0" w:space="0" w:color="auto"/>
        <w:right w:val="none" w:sz="0" w:space="0" w:color="auto"/>
      </w:divBdr>
      <w:divsChild>
        <w:div w:id="1476752714">
          <w:marLeft w:val="0"/>
          <w:marRight w:val="0"/>
          <w:marTop w:val="0"/>
          <w:marBottom w:val="0"/>
          <w:divBdr>
            <w:top w:val="none" w:sz="0" w:space="0" w:color="auto"/>
            <w:left w:val="none" w:sz="0" w:space="0" w:color="auto"/>
            <w:bottom w:val="none" w:sz="0" w:space="0" w:color="auto"/>
            <w:right w:val="none" w:sz="0" w:space="0" w:color="auto"/>
          </w:divBdr>
          <w:divsChild>
            <w:div w:id="520975811">
              <w:marLeft w:val="65"/>
              <w:marRight w:val="0"/>
              <w:marTop w:val="65"/>
              <w:marBottom w:val="0"/>
              <w:divBdr>
                <w:top w:val="none" w:sz="0" w:space="0" w:color="auto"/>
                <w:left w:val="single" w:sz="4" w:space="0" w:color="CCCCCC"/>
                <w:bottom w:val="single" w:sz="4" w:space="0" w:color="CCCCCC"/>
                <w:right w:val="single" w:sz="4" w:space="0" w:color="CCCCCC"/>
              </w:divBdr>
              <w:divsChild>
                <w:div w:id="1370643687">
                  <w:marLeft w:val="65"/>
                  <w:marRight w:val="65"/>
                  <w:marTop w:val="0"/>
                  <w:marBottom w:val="0"/>
                  <w:divBdr>
                    <w:top w:val="none" w:sz="0" w:space="0" w:color="auto"/>
                    <w:left w:val="none" w:sz="0" w:space="0" w:color="auto"/>
                    <w:bottom w:val="none" w:sz="0" w:space="0" w:color="auto"/>
                    <w:right w:val="none" w:sz="0" w:space="0" w:color="auto"/>
                  </w:divBdr>
                </w:div>
              </w:divsChild>
            </w:div>
          </w:divsChild>
        </w:div>
      </w:divsChild>
    </w:div>
    <w:div w:id="1391416748">
      <w:bodyDiv w:val="1"/>
      <w:marLeft w:val="0"/>
      <w:marRight w:val="0"/>
      <w:marTop w:val="0"/>
      <w:marBottom w:val="0"/>
      <w:divBdr>
        <w:top w:val="none" w:sz="0" w:space="0" w:color="auto"/>
        <w:left w:val="none" w:sz="0" w:space="0" w:color="auto"/>
        <w:bottom w:val="none" w:sz="0" w:space="0" w:color="auto"/>
        <w:right w:val="none" w:sz="0" w:space="0" w:color="auto"/>
      </w:divBdr>
    </w:div>
    <w:div w:id="1400594227">
      <w:bodyDiv w:val="1"/>
      <w:marLeft w:val="0"/>
      <w:marRight w:val="0"/>
      <w:marTop w:val="0"/>
      <w:marBottom w:val="0"/>
      <w:divBdr>
        <w:top w:val="none" w:sz="0" w:space="0" w:color="auto"/>
        <w:left w:val="none" w:sz="0" w:space="0" w:color="auto"/>
        <w:bottom w:val="none" w:sz="0" w:space="0" w:color="auto"/>
        <w:right w:val="none" w:sz="0" w:space="0" w:color="auto"/>
      </w:divBdr>
    </w:div>
    <w:div w:id="1462113053">
      <w:bodyDiv w:val="1"/>
      <w:marLeft w:val="0"/>
      <w:marRight w:val="0"/>
      <w:marTop w:val="0"/>
      <w:marBottom w:val="0"/>
      <w:divBdr>
        <w:top w:val="none" w:sz="0" w:space="0" w:color="auto"/>
        <w:left w:val="none" w:sz="0" w:space="0" w:color="auto"/>
        <w:bottom w:val="none" w:sz="0" w:space="0" w:color="auto"/>
        <w:right w:val="none" w:sz="0" w:space="0" w:color="auto"/>
      </w:divBdr>
    </w:div>
    <w:div w:id="1585601932">
      <w:bodyDiv w:val="1"/>
      <w:marLeft w:val="0"/>
      <w:marRight w:val="0"/>
      <w:marTop w:val="0"/>
      <w:marBottom w:val="0"/>
      <w:divBdr>
        <w:top w:val="none" w:sz="0" w:space="0" w:color="auto"/>
        <w:left w:val="none" w:sz="0" w:space="0" w:color="auto"/>
        <w:bottom w:val="none" w:sz="0" w:space="0" w:color="auto"/>
        <w:right w:val="none" w:sz="0" w:space="0" w:color="auto"/>
      </w:divBdr>
    </w:div>
    <w:div w:id="1644038717">
      <w:bodyDiv w:val="1"/>
      <w:marLeft w:val="0"/>
      <w:marRight w:val="0"/>
      <w:marTop w:val="0"/>
      <w:marBottom w:val="0"/>
      <w:divBdr>
        <w:top w:val="none" w:sz="0" w:space="0" w:color="auto"/>
        <w:left w:val="none" w:sz="0" w:space="0" w:color="auto"/>
        <w:bottom w:val="none" w:sz="0" w:space="0" w:color="auto"/>
        <w:right w:val="none" w:sz="0" w:space="0" w:color="auto"/>
      </w:divBdr>
    </w:div>
    <w:div w:id="1711489804">
      <w:bodyDiv w:val="1"/>
      <w:marLeft w:val="0"/>
      <w:marRight w:val="0"/>
      <w:marTop w:val="0"/>
      <w:marBottom w:val="0"/>
      <w:divBdr>
        <w:top w:val="none" w:sz="0" w:space="0" w:color="auto"/>
        <w:left w:val="none" w:sz="0" w:space="0" w:color="auto"/>
        <w:bottom w:val="none" w:sz="0" w:space="0" w:color="auto"/>
        <w:right w:val="none" w:sz="0" w:space="0" w:color="auto"/>
      </w:divBdr>
    </w:div>
    <w:div w:id="1787653911">
      <w:bodyDiv w:val="1"/>
      <w:marLeft w:val="0"/>
      <w:marRight w:val="0"/>
      <w:marTop w:val="0"/>
      <w:marBottom w:val="0"/>
      <w:divBdr>
        <w:top w:val="none" w:sz="0" w:space="0" w:color="auto"/>
        <w:left w:val="none" w:sz="0" w:space="0" w:color="auto"/>
        <w:bottom w:val="none" w:sz="0" w:space="0" w:color="auto"/>
        <w:right w:val="none" w:sz="0" w:space="0" w:color="auto"/>
      </w:divBdr>
    </w:div>
    <w:div w:id="1832989414">
      <w:bodyDiv w:val="1"/>
      <w:marLeft w:val="0"/>
      <w:marRight w:val="0"/>
      <w:marTop w:val="0"/>
      <w:marBottom w:val="0"/>
      <w:divBdr>
        <w:top w:val="none" w:sz="0" w:space="0" w:color="auto"/>
        <w:left w:val="none" w:sz="0" w:space="0" w:color="auto"/>
        <w:bottom w:val="none" w:sz="0" w:space="0" w:color="auto"/>
        <w:right w:val="none" w:sz="0" w:space="0" w:color="auto"/>
      </w:divBdr>
    </w:div>
    <w:div w:id="1855877077">
      <w:bodyDiv w:val="1"/>
      <w:marLeft w:val="0"/>
      <w:marRight w:val="0"/>
      <w:marTop w:val="0"/>
      <w:marBottom w:val="0"/>
      <w:divBdr>
        <w:top w:val="none" w:sz="0" w:space="0" w:color="auto"/>
        <w:left w:val="none" w:sz="0" w:space="0" w:color="auto"/>
        <w:bottom w:val="none" w:sz="0" w:space="0" w:color="auto"/>
        <w:right w:val="none" w:sz="0" w:space="0" w:color="auto"/>
      </w:divBdr>
    </w:div>
    <w:div w:id="1919903740">
      <w:bodyDiv w:val="1"/>
      <w:marLeft w:val="0"/>
      <w:marRight w:val="0"/>
      <w:marTop w:val="0"/>
      <w:marBottom w:val="0"/>
      <w:divBdr>
        <w:top w:val="none" w:sz="0" w:space="0" w:color="auto"/>
        <w:left w:val="none" w:sz="0" w:space="0" w:color="auto"/>
        <w:bottom w:val="none" w:sz="0" w:space="0" w:color="auto"/>
        <w:right w:val="none" w:sz="0" w:space="0" w:color="auto"/>
      </w:divBdr>
    </w:div>
    <w:div w:id="1933006659">
      <w:bodyDiv w:val="1"/>
      <w:marLeft w:val="0"/>
      <w:marRight w:val="0"/>
      <w:marTop w:val="0"/>
      <w:marBottom w:val="0"/>
      <w:divBdr>
        <w:top w:val="none" w:sz="0" w:space="0" w:color="auto"/>
        <w:left w:val="none" w:sz="0" w:space="0" w:color="auto"/>
        <w:bottom w:val="none" w:sz="0" w:space="0" w:color="auto"/>
        <w:right w:val="none" w:sz="0" w:space="0" w:color="auto"/>
      </w:divBdr>
    </w:div>
    <w:div w:id="2007046786">
      <w:bodyDiv w:val="1"/>
      <w:marLeft w:val="0"/>
      <w:marRight w:val="0"/>
      <w:marTop w:val="0"/>
      <w:marBottom w:val="0"/>
      <w:divBdr>
        <w:top w:val="none" w:sz="0" w:space="0" w:color="auto"/>
        <w:left w:val="none" w:sz="0" w:space="0" w:color="auto"/>
        <w:bottom w:val="none" w:sz="0" w:space="0" w:color="auto"/>
        <w:right w:val="none" w:sz="0" w:space="0" w:color="auto"/>
      </w:divBdr>
    </w:div>
    <w:div w:id="203935800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header" Target="header2.xml"/><Relationship Id="rId18" Type="http://schemas.openxmlformats.org/officeDocument/2006/relationships/header" Target="header5.xml"/><Relationship Id="rId26" Type="http://schemas.openxmlformats.org/officeDocument/2006/relationships/hyperlink" Target="https://floridadep.gov/air/permitting-compliance/content/title-v-fees" TargetMode="External"/><Relationship Id="rId39" Type="http://schemas.openxmlformats.org/officeDocument/2006/relationships/oleObject" Target="embeddings/oleObject5.bin"/><Relationship Id="rId21" Type="http://schemas.openxmlformats.org/officeDocument/2006/relationships/header" Target="header7.xml"/><Relationship Id="rId34" Type="http://schemas.openxmlformats.org/officeDocument/2006/relationships/image" Target="media/image3.wmf"/><Relationship Id="rId42" Type="http://schemas.openxmlformats.org/officeDocument/2006/relationships/oleObject" Target="embeddings/oleObject8.bin"/><Relationship Id="rId47" Type="http://schemas.openxmlformats.org/officeDocument/2006/relationships/header" Target="header15.xml"/><Relationship Id="rId50" Type="http://schemas.openxmlformats.org/officeDocument/2006/relationships/oleObject" Target="embeddings/oleObject11.bin"/><Relationship Id="rId55" Type="http://schemas.openxmlformats.org/officeDocument/2006/relationships/header" Target="header19.xml"/><Relationship Id="rId63" Type="http://schemas.openxmlformats.org/officeDocument/2006/relationships/header" Target="header26.xml"/><Relationship Id="rId68" Type="http://schemas.openxmlformats.org/officeDocument/2006/relationships/header" Target="header31.xml"/><Relationship Id="rId76" Type="http://schemas.openxmlformats.org/officeDocument/2006/relationships/header" Target="header35.xml"/><Relationship Id="rId84" Type="http://schemas.openxmlformats.org/officeDocument/2006/relationships/header" Target="header39.xml"/><Relationship Id="rId89" Type="http://schemas.openxmlformats.org/officeDocument/2006/relationships/image" Target="media/image12.png"/><Relationship Id="rId7" Type="http://schemas.openxmlformats.org/officeDocument/2006/relationships/endnotes" Target="endnotes.xml"/><Relationship Id="rId71" Type="http://schemas.openxmlformats.org/officeDocument/2006/relationships/header" Target="header32.xml"/><Relationship Id="rId92" Type="http://schemas.openxmlformats.org/officeDocument/2006/relationships/header" Target="header43.xml"/><Relationship Id="rId2" Type="http://schemas.openxmlformats.org/officeDocument/2006/relationships/numbering" Target="numbering.xml"/><Relationship Id="rId16" Type="http://schemas.openxmlformats.org/officeDocument/2006/relationships/header" Target="header4.xml"/><Relationship Id="rId29" Type="http://schemas.openxmlformats.org/officeDocument/2006/relationships/hyperlink" Target="https://cdx.epa.gov" TargetMode="External"/><Relationship Id="rId11" Type="http://schemas.openxmlformats.org/officeDocument/2006/relationships/header" Target="header1.xml"/><Relationship Id="rId24" Type="http://schemas.openxmlformats.org/officeDocument/2006/relationships/footer" Target="footer5.xml"/><Relationship Id="rId32" Type="http://schemas.openxmlformats.org/officeDocument/2006/relationships/header" Target="header12.xml"/><Relationship Id="rId37" Type="http://schemas.openxmlformats.org/officeDocument/2006/relationships/oleObject" Target="embeddings/oleObject3.bin"/><Relationship Id="rId40" Type="http://schemas.openxmlformats.org/officeDocument/2006/relationships/oleObject" Target="embeddings/oleObject6.bin"/><Relationship Id="rId45" Type="http://schemas.openxmlformats.org/officeDocument/2006/relationships/oleObject" Target="embeddings/oleObject10.bin"/><Relationship Id="rId53" Type="http://schemas.openxmlformats.org/officeDocument/2006/relationships/header" Target="header17.xml"/><Relationship Id="rId58" Type="http://schemas.openxmlformats.org/officeDocument/2006/relationships/header" Target="header22.xml"/><Relationship Id="rId66" Type="http://schemas.openxmlformats.org/officeDocument/2006/relationships/header" Target="header29.xml"/><Relationship Id="rId74" Type="http://schemas.openxmlformats.org/officeDocument/2006/relationships/hyperlink" Target="http://www.ecfr.gov/cgi-bin/text-idx?c=ecfr&amp;rgn=div6&amp;view=text&amp;node=40:10.0.1.1.1.1&amp;idno=40" TargetMode="External"/><Relationship Id="rId79" Type="http://schemas.openxmlformats.org/officeDocument/2006/relationships/image" Target="media/image7.png"/><Relationship Id="rId87" Type="http://schemas.openxmlformats.org/officeDocument/2006/relationships/image" Target="media/image10.png"/><Relationship Id="rId5" Type="http://schemas.openxmlformats.org/officeDocument/2006/relationships/webSettings" Target="webSettings.xml"/><Relationship Id="rId61" Type="http://schemas.openxmlformats.org/officeDocument/2006/relationships/header" Target="header24.xml"/><Relationship Id="rId82" Type="http://schemas.openxmlformats.org/officeDocument/2006/relationships/hyperlink" Target="file:///C:\Users\Heron_t\AppData\Local\Microsoft\Windows\Temporary%20Internet%20Files\Content.Outlook\KLB8GJ9W\Draft%20Renewal%20Permit%20022-AV.doc" TargetMode="External"/><Relationship Id="rId90" Type="http://schemas.openxmlformats.org/officeDocument/2006/relationships/header" Target="header41.xml"/><Relationship Id="rId19" Type="http://schemas.openxmlformats.org/officeDocument/2006/relationships/header" Target="header6.xml"/><Relationship Id="rId14" Type="http://schemas.openxmlformats.org/officeDocument/2006/relationships/header" Target="header3.xml"/><Relationship Id="rId22" Type="http://schemas.openxmlformats.org/officeDocument/2006/relationships/header" Target="header8.xml"/><Relationship Id="rId27" Type="http://schemas.openxmlformats.org/officeDocument/2006/relationships/hyperlink" Target="http://www.dep.state.fl.us/air/emission/eaor" TargetMode="External"/><Relationship Id="rId30" Type="http://schemas.openxmlformats.org/officeDocument/2006/relationships/hyperlink" Target="http://www2.epa.gov/rmp" TargetMode="External"/><Relationship Id="rId35" Type="http://schemas.openxmlformats.org/officeDocument/2006/relationships/oleObject" Target="embeddings/oleObject1.bin"/><Relationship Id="rId43" Type="http://schemas.openxmlformats.org/officeDocument/2006/relationships/image" Target="media/image4.wmf"/><Relationship Id="rId48" Type="http://schemas.openxmlformats.org/officeDocument/2006/relationships/header" Target="header16.xml"/><Relationship Id="rId56" Type="http://schemas.openxmlformats.org/officeDocument/2006/relationships/header" Target="header20.xml"/><Relationship Id="rId64" Type="http://schemas.openxmlformats.org/officeDocument/2006/relationships/header" Target="header27.xml"/><Relationship Id="rId69" Type="http://schemas.openxmlformats.org/officeDocument/2006/relationships/hyperlink" Target="http://www.ecfr.gov/cgi-bin/text-idx?c=ecfr&amp;rgn=div6&amp;view=text&amp;node=40:7.0.1.1.1.1&amp;idno=40" TargetMode="External"/><Relationship Id="rId77" Type="http://schemas.openxmlformats.org/officeDocument/2006/relationships/header" Target="header36.xml"/><Relationship Id="rId8" Type="http://schemas.openxmlformats.org/officeDocument/2006/relationships/image" Target="media/image1.png"/><Relationship Id="rId51" Type="http://schemas.openxmlformats.org/officeDocument/2006/relationships/image" Target="media/image6.wmf"/><Relationship Id="rId72" Type="http://schemas.openxmlformats.org/officeDocument/2006/relationships/header" Target="header33.xml"/><Relationship Id="rId80" Type="http://schemas.openxmlformats.org/officeDocument/2006/relationships/image" Target="media/image8.png"/><Relationship Id="rId85" Type="http://schemas.openxmlformats.org/officeDocument/2006/relationships/header" Target="header40.xml"/><Relationship Id="rId93"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footer" Target="footer1.xml"/><Relationship Id="rId17" Type="http://schemas.openxmlformats.org/officeDocument/2006/relationships/footer" Target="footer3.xml"/><Relationship Id="rId25" Type="http://schemas.openxmlformats.org/officeDocument/2006/relationships/header" Target="header10.xml"/><Relationship Id="rId33" Type="http://schemas.openxmlformats.org/officeDocument/2006/relationships/header" Target="header13.xml"/><Relationship Id="rId38" Type="http://schemas.openxmlformats.org/officeDocument/2006/relationships/oleObject" Target="embeddings/oleObject4.bin"/><Relationship Id="rId46" Type="http://schemas.openxmlformats.org/officeDocument/2006/relationships/header" Target="header14.xml"/><Relationship Id="rId59" Type="http://schemas.openxmlformats.org/officeDocument/2006/relationships/hyperlink" Target="http://www.epa.gov/ttn/emc/ctm.html" TargetMode="External"/><Relationship Id="rId67" Type="http://schemas.openxmlformats.org/officeDocument/2006/relationships/header" Target="header30.xml"/><Relationship Id="rId20" Type="http://schemas.openxmlformats.org/officeDocument/2006/relationships/footer" Target="footer4.xml"/><Relationship Id="rId41" Type="http://schemas.openxmlformats.org/officeDocument/2006/relationships/oleObject" Target="embeddings/oleObject7.bin"/><Relationship Id="rId54" Type="http://schemas.openxmlformats.org/officeDocument/2006/relationships/header" Target="header18.xml"/><Relationship Id="rId62" Type="http://schemas.openxmlformats.org/officeDocument/2006/relationships/header" Target="header25.xml"/><Relationship Id="rId70" Type="http://schemas.openxmlformats.org/officeDocument/2006/relationships/hyperlink" Target="https://www.ecfr.gov/cgi-bin/text-idx?node=sp40.7.60.iiii" TargetMode="External"/><Relationship Id="rId75" Type="http://schemas.openxmlformats.org/officeDocument/2006/relationships/hyperlink" Target="https://www.ecfr.gov/cgi-bin/text-idx?c=ecfr;rgn=div6;view=text;node=40%3A14.0.1.1.1.1;idno=40;sid=e94dcfde4a04b27290c445a56e635e58;cc=ecfr" TargetMode="External"/><Relationship Id="rId83" Type="http://schemas.openxmlformats.org/officeDocument/2006/relationships/header" Target="header38.xml"/><Relationship Id="rId88" Type="http://schemas.openxmlformats.org/officeDocument/2006/relationships/image" Target="media/image11.png"/><Relationship Id="rId91" Type="http://schemas.openxmlformats.org/officeDocument/2006/relationships/header" Target="header42.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footer" Target="footer2.xml"/><Relationship Id="rId23" Type="http://schemas.openxmlformats.org/officeDocument/2006/relationships/header" Target="header9.xml"/><Relationship Id="rId28" Type="http://schemas.openxmlformats.org/officeDocument/2006/relationships/hyperlink" Target="mailto:eaor@dep.state.fl.us" TargetMode="External"/><Relationship Id="rId36" Type="http://schemas.openxmlformats.org/officeDocument/2006/relationships/oleObject" Target="embeddings/oleObject2.bin"/><Relationship Id="rId49" Type="http://schemas.openxmlformats.org/officeDocument/2006/relationships/image" Target="media/image5.wmf"/><Relationship Id="rId57" Type="http://schemas.openxmlformats.org/officeDocument/2006/relationships/header" Target="header21.xml"/><Relationship Id="rId10" Type="http://schemas.openxmlformats.org/officeDocument/2006/relationships/hyperlink" Target="mailto:SED.AIR@dep.state.fl.us" TargetMode="External"/><Relationship Id="rId31" Type="http://schemas.openxmlformats.org/officeDocument/2006/relationships/header" Target="header11.xml"/><Relationship Id="rId44" Type="http://schemas.openxmlformats.org/officeDocument/2006/relationships/oleObject" Target="embeddings/oleObject9.bin"/><Relationship Id="rId52" Type="http://schemas.openxmlformats.org/officeDocument/2006/relationships/oleObject" Target="embeddings/oleObject12.bin"/><Relationship Id="rId60" Type="http://schemas.openxmlformats.org/officeDocument/2006/relationships/header" Target="header23.xml"/><Relationship Id="rId65" Type="http://schemas.openxmlformats.org/officeDocument/2006/relationships/header" Target="header28.xml"/><Relationship Id="rId73" Type="http://schemas.openxmlformats.org/officeDocument/2006/relationships/header" Target="header34.xml"/><Relationship Id="rId78" Type="http://schemas.openxmlformats.org/officeDocument/2006/relationships/header" Target="header37.xml"/><Relationship Id="rId81" Type="http://schemas.openxmlformats.org/officeDocument/2006/relationships/hyperlink" Target="file:///C:\Users\Heron_t\AppData\Local\Microsoft\Windows\Temporary%20Internet%20Files\Content.Outlook\KLB8GJ9W\Draft%20Renewal%20Permit%20022-AV.doc" TargetMode="External"/><Relationship Id="rId86" Type="http://schemas.openxmlformats.org/officeDocument/2006/relationships/image" Target="media/image9.png"/><Relationship Id="rId94"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yperlink" Target="mailto:DARM_Permitting@dep.state.fl.us" TargetMode="External"/></Relationships>
</file>

<file path=word/_rels/footer4.xml.rels><?xml version="1.0" encoding="UTF-8" standalone="yes"?>
<Relationships xmlns="http://schemas.openxmlformats.org/package/2006/relationships"><Relationship Id="rId1" Type="http://schemas.openxmlformats.org/officeDocument/2006/relationships/hyperlink" Target="http://www.dep.state.fl.us" TargetMode="External"/></Relationships>
</file>

<file path=word/_rels/header6.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3B666B65-C8EF-425F-B258-5B7A1B0B518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6702</TotalTime>
  <Pages>79</Pages>
  <Words>37680</Words>
  <Characters>211654</Characters>
  <Application>Microsoft Office Word</Application>
  <DocSecurity>0</DocSecurity>
  <Lines>3413</Lines>
  <Paragraphs>1408</Paragraphs>
  <ScaleCrop>false</ScaleCrop>
  <HeadingPairs>
    <vt:vector size="2" baseType="variant">
      <vt:variant>
        <vt:lpstr>Title</vt:lpstr>
      </vt:variant>
      <vt:variant>
        <vt:i4>1</vt:i4>
      </vt:variant>
    </vt:vector>
  </HeadingPairs>
  <TitlesOfParts>
    <vt:vector size="1" baseType="lpstr">
      <vt:lpstr>The permittee shall comply with the following requirements for on-specification used oil</vt:lpstr>
    </vt:vector>
  </TitlesOfParts>
  <Company>Personal</Company>
  <LinksUpToDate>false</LinksUpToDate>
  <CharactersWithSpaces>247926</CharactersWithSpaces>
  <SharedDoc>false</SharedDoc>
  <HLinks>
    <vt:vector size="6" baseType="variant">
      <vt:variant>
        <vt:i4>1441859</vt:i4>
      </vt:variant>
      <vt:variant>
        <vt:i4>0</vt:i4>
      </vt:variant>
      <vt:variant>
        <vt:i4>0</vt:i4>
      </vt:variant>
      <vt:variant>
        <vt:i4>5</vt:i4>
      </vt:variant>
      <vt:variant>
        <vt:lpwstr>http://www.dep.state.fl.us/air/emission/tvfee.htm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The permittee shall comply with the following requirements for on-specification used oil</dc:title>
  <dc:creator>Jon Holtom</dc:creator>
  <cp:lastModifiedBy>Read, David</cp:lastModifiedBy>
  <cp:revision>144</cp:revision>
  <cp:lastPrinted>2018-05-01T18:28:00Z</cp:lastPrinted>
  <dcterms:created xsi:type="dcterms:W3CDTF">2018-03-22T14:55:00Z</dcterms:created>
  <dcterms:modified xsi:type="dcterms:W3CDTF">2018-11-05T17:40:00Z</dcterms:modified>
</cp:coreProperties>
</file>